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A863F1">
        <w:tblPrEx>
          <w:tblCellMar>
            <w:top w:w="0" w:type="dxa"/>
            <w:bottom w:w="0" w:type="dxa"/>
          </w:tblCellMar>
        </w:tblPrEx>
        <w:trPr>
          <w:tblCellSpacing w:w="60" w:type="dxa"/>
        </w:trPr>
        <w:tc>
          <w:tcPr>
            <w:tcW w:w="1200" w:type="pct"/>
            <w:shd w:val="clear" w:color="auto" w:fill="E7F0F9"/>
          </w:tcPr>
          <w:p w:rsidR="00A863F1" w:rsidRDefault="00C52735">
            <w:pPr>
              <w:spacing w:after="0" w:line="240" w:lineRule="auto"/>
            </w:pPr>
            <w:bookmarkStart w:id="0" w:name="_GoBack"/>
            <w:bookmarkEnd w:id="0"/>
            <w:r>
              <w:rPr>
                <w:b/>
              </w:rPr>
              <w:t>RKP broj</w:t>
            </w:r>
          </w:p>
        </w:tc>
        <w:tc>
          <w:tcPr>
            <w:tcW w:w="0" w:type="auto"/>
            <w:shd w:val="clear" w:color="auto" w:fill="E7F0F9"/>
          </w:tcPr>
          <w:p w:rsidR="00A863F1" w:rsidRDefault="00C52735">
            <w:pPr>
              <w:spacing w:after="0" w:line="240" w:lineRule="auto"/>
            </w:pPr>
            <w:r>
              <w:t>34598</w:t>
            </w:r>
          </w:p>
        </w:tc>
      </w:tr>
      <w:tr w:rsidR="00A863F1">
        <w:tblPrEx>
          <w:tblCellMar>
            <w:top w:w="0" w:type="dxa"/>
            <w:bottom w:w="0" w:type="dxa"/>
          </w:tblCellMar>
        </w:tblPrEx>
        <w:trPr>
          <w:tblCellSpacing w:w="60" w:type="dxa"/>
        </w:trPr>
        <w:tc>
          <w:tcPr>
            <w:tcW w:w="1200" w:type="pct"/>
            <w:shd w:val="clear" w:color="auto" w:fill="E7F0F9"/>
          </w:tcPr>
          <w:p w:rsidR="00A863F1" w:rsidRDefault="00C52735">
            <w:pPr>
              <w:spacing w:after="0" w:line="240" w:lineRule="auto"/>
            </w:pPr>
            <w:r>
              <w:rPr>
                <w:b/>
              </w:rPr>
              <w:t>Naziv obveznika</w:t>
            </w:r>
          </w:p>
        </w:tc>
        <w:tc>
          <w:tcPr>
            <w:tcW w:w="0" w:type="auto"/>
            <w:shd w:val="clear" w:color="auto" w:fill="E7F0F9"/>
          </w:tcPr>
          <w:p w:rsidR="00A863F1" w:rsidRDefault="00C52735">
            <w:pPr>
              <w:spacing w:after="0" w:line="240" w:lineRule="auto"/>
            </w:pPr>
            <w:r>
              <w:t>ČEŠKI DJEČJI VRTIĆ FERDE MRAVENCA</w:t>
            </w:r>
          </w:p>
        </w:tc>
      </w:tr>
      <w:tr w:rsidR="00A863F1">
        <w:tblPrEx>
          <w:tblCellMar>
            <w:top w:w="0" w:type="dxa"/>
            <w:bottom w:w="0" w:type="dxa"/>
          </w:tblCellMar>
        </w:tblPrEx>
        <w:trPr>
          <w:tblCellSpacing w:w="60" w:type="dxa"/>
        </w:trPr>
        <w:tc>
          <w:tcPr>
            <w:tcW w:w="1200" w:type="pct"/>
            <w:shd w:val="clear" w:color="auto" w:fill="E7F0F9"/>
          </w:tcPr>
          <w:p w:rsidR="00A863F1" w:rsidRDefault="00C52735">
            <w:pPr>
              <w:spacing w:after="0" w:line="240" w:lineRule="auto"/>
            </w:pPr>
            <w:r>
              <w:rPr>
                <w:b/>
              </w:rPr>
              <w:t>Razina</w:t>
            </w:r>
          </w:p>
        </w:tc>
        <w:tc>
          <w:tcPr>
            <w:tcW w:w="0" w:type="auto"/>
            <w:shd w:val="clear" w:color="auto" w:fill="E7F0F9"/>
          </w:tcPr>
          <w:p w:rsidR="00A863F1" w:rsidRDefault="00C52735">
            <w:pPr>
              <w:spacing w:after="0" w:line="240" w:lineRule="auto"/>
            </w:pPr>
            <w:r>
              <w:t>21</w:t>
            </w:r>
          </w:p>
        </w:tc>
      </w:tr>
    </w:tbl>
    <w:p w:rsidR="00A863F1" w:rsidRDefault="00C52735">
      <w:r>
        <w:br/>
      </w:r>
    </w:p>
    <w:p w:rsidR="00A863F1" w:rsidRDefault="00C52735">
      <w:pPr>
        <w:spacing w:line="240" w:lineRule="auto"/>
        <w:jc w:val="center"/>
      </w:pPr>
      <w:r>
        <w:rPr>
          <w:b/>
          <w:sz w:val="28"/>
        </w:rPr>
        <w:t>BILJEŠKE UZ FINANCIJSKE IZVJEŠTAJE</w:t>
      </w:r>
    </w:p>
    <w:p w:rsidR="00A863F1" w:rsidRDefault="00C52735">
      <w:pPr>
        <w:spacing w:line="240" w:lineRule="auto"/>
        <w:jc w:val="center"/>
      </w:pPr>
      <w:r>
        <w:rPr>
          <w:b/>
          <w:sz w:val="28"/>
        </w:rPr>
        <w:t>ZA RAZDOBLJE</w:t>
      </w:r>
    </w:p>
    <w:p w:rsidR="00A863F1" w:rsidRDefault="00C52735">
      <w:pPr>
        <w:spacing w:line="240" w:lineRule="auto"/>
        <w:jc w:val="center"/>
      </w:pPr>
      <w:r>
        <w:rPr>
          <w:b/>
          <w:sz w:val="28"/>
        </w:rPr>
        <w:t>I - VI 2025.</w:t>
      </w:r>
    </w:p>
    <w:p w:rsidR="00A863F1" w:rsidRDefault="00A863F1"/>
    <w:p w:rsidR="00A863F1" w:rsidRDefault="00C52735">
      <w:pPr>
        <w:keepNext/>
        <w:spacing w:line="240" w:lineRule="auto"/>
        <w:jc w:val="center"/>
      </w:pPr>
      <w:r>
        <w:rPr>
          <w:b/>
          <w:sz w:val="28"/>
        </w:rPr>
        <w:t>Izvještaj o prihodima i rashodima, primicima i izdacima</w:t>
      </w:r>
    </w:p>
    <w:p w:rsidR="00A863F1" w:rsidRDefault="00C52735">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w:t>
            </w:r>
          </w:p>
        </w:tc>
        <w:tc>
          <w:tcPr>
            <w:tcW w:w="3180" w:type="dxa"/>
            <w:tcMar>
              <w:top w:w="0" w:type="dxa"/>
              <w:bottom w:w="0" w:type="dxa"/>
            </w:tcMar>
            <w:vAlign w:val="center"/>
          </w:tcPr>
          <w:p w:rsidR="00A863F1" w:rsidRDefault="00C52735">
            <w:pPr>
              <w:keepNext/>
              <w:keepLines/>
              <w:spacing w:after="0" w:line="240" w:lineRule="auto"/>
            </w:pPr>
            <w:r>
              <w:rPr>
                <w:sz w:val="18"/>
              </w:rPr>
              <w:t>PRIHODI POSLOVANJA (šifre 61+62+63+64+65+66+67+68)</w:t>
            </w:r>
          </w:p>
        </w:tc>
        <w:tc>
          <w:tcPr>
            <w:tcW w:w="700" w:type="dxa"/>
            <w:tcMar>
              <w:top w:w="0" w:type="dxa"/>
              <w:bottom w:w="0" w:type="dxa"/>
            </w:tcMar>
            <w:vAlign w:val="center"/>
          </w:tcPr>
          <w:p w:rsidR="00A863F1" w:rsidRDefault="00C52735">
            <w:pPr>
              <w:keepNext/>
              <w:keepLines/>
              <w:spacing w:after="0" w:line="240" w:lineRule="auto"/>
            </w:pPr>
            <w:r>
              <w:rPr>
                <w:sz w:val="18"/>
              </w:rPr>
              <w:t>6</w:t>
            </w:r>
          </w:p>
        </w:tc>
        <w:tc>
          <w:tcPr>
            <w:tcW w:w="1860" w:type="dxa"/>
            <w:tcMar>
              <w:top w:w="0" w:type="dxa"/>
              <w:bottom w:w="0" w:type="dxa"/>
            </w:tcMar>
            <w:vAlign w:val="center"/>
          </w:tcPr>
          <w:p w:rsidR="00A863F1" w:rsidRDefault="00C52735">
            <w:pPr>
              <w:keepNext/>
              <w:keepLines/>
              <w:spacing w:after="0" w:line="240" w:lineRule="auto"/>
              <w:jc w:val="right"/>
            </w:pPr>
            <w:r>
              <w:rPr>
                <w:sz w:val="18"/>
              </w:rPr>
              <w:t>336.336,82</w:t>
            </w:r>
          </w:p>
        </w:tc>
        <w:tc>
          <w:tcPr>
            <w:tcW w:w="1860" w:type="dxa"/>
            <w:tcMar>
              <w:top w:w="0" w:type="dxa"/>
              <w:bottom w:w="0" w:type="dxa"/>
            </w:tcMar>
            <w:vAlign w:val="center"/>
          </w:tcPr>
          <w:p w:rsidR="00A863F1" w:rsidRDefault="00C52735">
            <w:pPr>
              <w:keepNext/>
              <w:keepLines/>
              <w:spacing w:after="0" w:line="240" w:lineRule="auto"/>
              <w:jc w:val="right"/>
            </w:pPr>
            <w:r>
              <w:rPr>
                <w:sz w:val="18"/>
              </w:rPr>
              <w:t>553.025,87</w:t>
            </w:r>
          </w:p>
        </w:tc>
        <w:tc>
          <w:tcPr>
            <w:tcW w:w="700" w:type="dxa"/>
            <w:tcMar>
              <w:top w:w="0" w:type="dxa"/>
              <w:bottom w:w="0" w:type="dxa"/>
            </w:tcMar>
            <w:vAlign w:val="center"/>
          </w:tcPr>
          <w:p w:rsidR="00A863F1" w:rsidRDefault="00C52735">
            <w:pPr>
              <w:keepNext/>
              <w:keepLines/>
              <w:spacing w:after="0" w:line="240" w:lineRule="auto"/>
              <w:jc w:val="right"/>
            </w:pPr>
            <w:r>
              <w:rPr>
                <w:sz w:val="18"/>
              </w:rPr>
              <w:t>164,4</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w:t>
            </w:r>
          </w:p>
        </w:tc>
        <w:tc>
          <w:tcPr>
            <w:tcW w:w="3180" w:type="dxa"/>
            <w:tcMar>
              <w:top w:w="0" w:type="dxa"/>
              <w:bottom w:w="0" w:type="dxa"/>
            </w:tcMar>
            <w:vAlign w:val="center"/>
          </w:tcPr>
          <w:p w:rsidR="00A863F1" w:rsidRDefault="00C52735">
            <w:pPr>
              <w:keepNext/>
              <w:keepLines/>
              <w:spacing w:after="0" w:line="240" w:lineRule="auto"/>
            </w:pPr>
            <w:r>
              <w:rPr>
                <w:sz w:val="18"/>
              </w:rPr>
              <w:t>RASHODI POSLOVANJA (šifre 31+32+34+35+36+37+38)</w:t>
            </w:r>
          </w:p>
        </w:tc>
        <w:tc>
          <w:tcPr>
            <w:tcW w:w="700" w:type="dxa"/>
            <w:tcMar>
              <w:top w:w="0" w:type="dxa"/>
              <w:bottom w:w="0" w:type="dxa"/>
            </w:tcMar>
            <w:vAlign w:val="center"/>
          </w:tcPr>
          <w:p w:rsidR="00A863F1" w:rsidRDefault="00C52735">
            <w:pPr>
              <w:keepNext/>
              <w:keepLines/>
              <w:spacing w:after="0" w:line="240" w:lineRule="auto"/>
            </w:pPr>
            <w:r>
              <w:rPr>
                <w:sz w:val="18"/>
              </w:rPr>
              <w:t>3</w:t>
            </w:r>
          </w:p>
        </w:tc>
        <w:tc>
          <w:tcPr>
            <w:tcW w:w="1860" w:type="dxa"/>
            <w:tcMar>
              <w:top w:w="0" w:type="dxa"/>
              <w:bottom w:w="0" w:type="dxa"/>
            </w:tcMar>
            <w:vAlign w:val="center"/>
          </w:tcPr>
          <w:p w:rsidR="00A863F1" w:rsidRDefault="00C52735">
            <w:pPr>
              <w:keepNext/>
              <w:keepLines/>
              <w:spacing w:after="0" w:line="240" w:lineRule="auto"/>
              <w:jc w:val="right"/>
            </w:pPr>
            <w:r>
              <w:rPr>
                <w:sz w:val="18"/>
              </w:rPr>
              <w:t>362.900,31</w:t>
            </w:r>
          </w:p>
        </w:tc>
        <w:tc>
          <w:tcPr>
            <w:tcW w:w="1860" w:type="dxa"/>
            <w:tcMar>
              <w:top w:w="0" w:type="dxa"/>
              <w:bottom w:w="0" w:type="dxa"/>
            </w:tcMar>
            <w:vAlign w:val="center"/>
          </w:tcPr>
          <w:p w:rsidR="00A863F1" w:rsidRDefault="00C52735">
            <w:pPr>
              <w:keepNext/>
              <w:keepLines/>
              <w:spacing w:after="0" w:line="240" w:lineRule="auto"/>
              <w:jc w:val="right"/>
            </w:pPr>
            <w:r>
              <w:rPr>
                <w:sz w:val="18"/>
              </w:rPr>
              <w:t>512.789,13</w:t>
            </w:r>
          </w:p>
        </w:tc>
        <w:tc>
          <w:tcPr>
            <w:tcW w:w="700" w:type="dxa"/>
            <w:tcMar>
              <w:top w:w="0" w:type="dxa"/>
              <w:bottom w:w="0" w:type="dxa"/>
            </w:tcMar>
            <w:vAlign w:val="center"/>
          </w:tcPr>
          <w:p w:rsidR="00A863F1" w:rsidRDefault="00C52735">
            <w:pPr>
              <w:keepNext/>
              <w:keepLines/>
              <w:spacing w:after="0" w:line="240" w:lineRule="auto"/>
              <w:jc w:val="right"/>
            </w:pPr>
            <w:r>
              <w:rPr>
                <w:sz w:val="18"/>
              </w:rPr>
              <w:t>141,3</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b/>
                <w:sz w:val="18"/>
              </w:rPr>
              <w:t>VIŠAK PRIHODA POSLOVANJA (šifre 6-Z005)</w:t>
            </w:r>
          </w:p>
        </w:tc>
        <w:tc>
          <w:tcPr>
            <w:tcW w:w="700" w:type="dxa"/>
            <w:tcMar>
              <w:top w:w="0" w:type="dxa"/>
              <w:bottom w:w="0" w:type="dxa"/>
            </w:tcMar>
            <w:vAlign w:val="center"/>
          </w:tcPr>
          <w:p w:rsidR="00A863F1" w:rsidRDefault="00C52735">
            <w:pPr>
              <w:keepNext/>
              <w:keepLines/>
              <w:spacing w:after="0" w:line="240" w:lineRule="auto"/>
            </w:pPr>
            <w:r>
              <w:rPr>
                <w:b/>
                <w:sz w:val="18"/>
              </w:rPr>
              <w:t>X001</w:t>
            </w:r>
          </w:p>
        </w:tc>
        <w:tc>
          <w:tcPr>
            <w:tcW w:w="1860" w:type="dxa"/>
            <w:tcMar>
              <w:top w:w="0" w:type="dxa"/>
              <w:bottom w:w="0" w:type="dxa"/>
            </w:tcMar>
            <w:vAlign w:val="center"/>
          </w:tcPr>
          <w:p w:rsidR="00A863F1" w:rsidRDefault="00C52735">
            <w:pPr>
              <w:keepNext/>
              <w:keepLines/>
              <w:spacing w:after="0" w:line="240" w:lineRule="auto"/>
              <w:jc w:val="right"/>
            </w:pPr>
            <w:r>
              <w:rPr>
                <w:b/>
                <w:sz w:val="18"/>
              </w:rPr>
              <w:t>0,00</w:t>
            </w:r>
          </w:p>
        </w:tc>
        <w:tc>
          <w:tcPr>
            <w:tcW w:w="1860" w:type="dxa"/>
            <w:tcMar>
              <w:top w:w="0" w:type="dxa"/>
              <w:bottom w:w="0" w:type="dxa"/>
            </w:tcMar>
            <w:vAlign w:val="center"/>
          </w:tcPr>
          <w:p w:rsidR="00A863F1" w:rsidRDefault="00C52735">
            <w:pPr>
              <w:keepNext/>
              <w:keepLines/>
              <w:spacing w:after="0" w:line="240" w:lineRule="auto"/>
              <w:jc w:val="right"/>
            </w:pPr>
            <w:r>
              <w:rPr>
                <w:b/>
                <w:sz w:val="18"/>
              </w:rPr>
              <w:t>40.236,74</w:t>
            </w:r>
          </w:p>
        </w:tc>
        <w:tc>
          <w:tcPr>
            <w:tcW w:w="700" w:type="dxa"/>
            <w:tcMar>
              <w:top w:w="0" w:type="dxa"/>
              <w:bottom w:w="0" w:type="dxa"/>
            </w:tcMar>
            <w:vAlign w:val="center"/>
          </w:tcPr>
          <w:p w:rsidR="00A863F1" w:rsidRDefault="00C52735">
            <w:pPr>
              <w:keepNext/>
              <w:keepLines/>
              <w:spacing w:after="0" w:line="240" w:lineRule="auto"/>
              <w:jc w:val="right"/>
            </w:pPr>
            <w:r>
              <w:rPr>
                <w:b/>
                <w:sz w:val="18"/>
              </w:rPr>
              <w:t>-</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7</w:t>
            </w:r>
          </w:p>
        </w:tc>
        <w:tc>
          <w:tcPr>
            <w:tcW w:w="3180" w:type="dxa"/>
            <w:tcMar>
              <w:top w:w="0" w:type="dxa"/>
              <w:bottom w:w="0" w:type="dxa"/>
            </w:tcMar>
            <w:vAlign w:val="center"/>
          </w:tcPr>
          <w:p w:rsidR="00A863F1" w:rsidRDefault="00C52735">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A863F1" w:rsidRDefault="00C52735">
            <w:pPr>
              <w:keepNext/>
              <w:keepLines/>
              <w:spacing w:after="0" w:line="240" w:lineRule="auto"/>
            </w:pPr>
            <w:r>
              <w:rPr>
                <w:sz w:val="18"/>
              </w:rPr>
              <w:t>7</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4</w:t>
            </w:r>
          </w:p>
        </w:tc>
        <w:tc>
          <w:tcPr>
            <w:tcW w:w="3180" w:type="dxa"/>
            <w:tcMar>
              <w:top w:w="0" w:type="dxa"/>
              <w:bottom w:w="0" w:type="dxa"/>
            </w:tcMar>
            <w:vAlign w:val="center"/>
          </w:tcPr>
          <w:p w:rsidR="00A863F1" w:rsidRDefault="00C52735">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A863F1" w:rsidRDefault="00C52735">
            <w:pPr>
              <w:keepNext/>
              <w:keepLines/>
              <w:spacing w:after="0" w:line="240" w:lineRule="auto"/>
            </w:pPr>
            <w:r>
              <w:rPr>
                <w:sz w:val="18"/>
              </w:rPr>
              <w:t>4</w:t>
            </w:r>
          </w:p>
        </w:tc>
        <w:tc>
          <w:tcPr>
            <w:tcW w:w="1860" w:type="dxa"/>
            <w:tcMar>
              <w:top w:w="0" w:type="dxa"/>
              <w:bottom w:w="0" w:type="dxa"/>
            </w:tcMar>
            <w:vAlign w:val="center"/>
          </w:tcPr>
          <w:p w:rsidR="00A863F1" w:rsidRDefault="00C52735">
            <w:pPr>
              <w:keepNext/>
              <w:keepLines/>
              <w:spacing w:after="0" w:line="240" w:lineRule="auto"/>
              <w:jc w:val="right"/>
            </w:pPr>
            <w:r>
              <w:rPr>
                <w:sz w:val="18"/>
              </w:rPr>
              <w:t>1.527,45</w:t>
            </w:r>
          </w:p>
        </w:tc>
        <w:tc>
          <w:tcPr>
            <w:tcW w:w="1860" w:type="dxa"/>
            <w:tcMar>
              <w:top w:w="0" w:type="dxa"/>
              <w:bottom w:w="0" w:type="dxa"/>
            </w:tcMar>
            <w:vAlign w:val="center"/>
          </w:tcPr>
          <w:p w:rsidR="00A863F1" w:rsidRDefault="00C52735">
            <w:pPr>
              <w:keepNext/>
              <w:keepLines/>
              <w:spacing w:after="0" w:line="240" w:lineRule="auto"/>
              <w:jc w:val="right"/>
            </w:pPr>
            <w:r>
              <w:rPr>
                <w:sz w:val="18"/>
              </w:rPr>
              <w:t>736,23</w:t>
            </w:r>
          </w:p>
        </w:tc>
        <w:tc>
          <w:tcPr>
            <w:tcW w:w="700" w:type="dxa"/>
            <w:tcMar>
              <w:top w:w="0" w:type="dxa"/>
              <w:bottom w:w="0" w:type="dxa"/>
            </w:tcMar>
            <w:vAlign w:val="center"/>
          </w:tcPr>
          <w:p w:rsidR="00A863F1" w:rsidRDefault="00C52735">
            <w:pPr>
              <w:keepNext/>
              <w:keepLines/>
              <w:spacing w:after="0" w:line="240" w:lineRule="auto"/>
              <w:jc w:val="right"/>
            </w:pPr>
            <w:r>
              <w:rPr>
                <w:sz w:val="18"/>
              </w:rPr>
              <w:t>48,2</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A863F1" w:rsidRDefault="00C52735">
            <w:pPr>
              <w:keepNext/>
              <w:keepLines/>
              <w:spacing w:after="0" w:line="240" w:lineRule="auto"/>
            </w:pPr>
            <w:r>
              <w:rPr>
                <w:b/>
                <w:sz w:val="18"/>
              </w:rPr>
              <w:t>Y002</w:t>
            </w:r>
          </w:p>
        </w:tc>
        <w:tc>
          <w:tcPr>
            <w:tcW w:w="1860" w:type="dxa"/>
            <w:tcMar>
              <w:top w:w="0" w:type="dxa"/>
              <w:bottom w:w="0" w:type="dxa"/>
            </w:tcMar>
            <w:vAlign w:val="center"/>
          </w:tcPr>
          <w:p w:rsidR="00A863F1" w:rsidRDefault="00C52735">
            <w:pPr>
              <w:keepNext/>
              <w:keepLines/>
              <w:spacing w:after="0" w:line="240" w:lineRule="auto"/>
              <w:jc w:val="right"/>
            </w:pPr>
            <w:r>
              <w:rPr>
                <w:b/>
                <w:sz w:val="18"/>
              </w:rPr>
              <w:t>1.527,45</w:t>
            </w:r>
          </w:p>
        </w:tc>
        <w:tc>
          <w:tcPr>
            <w:tcW w:w="1860" w:type="dxa"/>
            <w:tcMar>
              <w:top w:w="0" w:type="dxa"/>
              <w:bottom w:w="0" w:type="dxa"/>
            </w:tcMar>
            <w:vAlign w:val="center"/>
          </w:tcPr>
          <w:p w:rsidR="00A863F1" w:rsidRDefault="00C52735">
            <w:pPr>
              <w:keepNext/>
              <w:keepLines/>
              <w:spacing w:after="0" w:line="240" w:lineRule="auto"/>
              <w:jc w:val="right"/>
            </w:pPr>
            <w:r>
              <w:rPr>
                <w:b/>
                <w:sz w:val="18"/>
              </w:rPr>
              <w:t>736,23</w:t>
            </w:r>
          </w:p>
        </w:tc>
        <w:tc>
          <w:tcPr>
            <w:tcW w:w="700" w:type="dxa"/>
            <w:tcMar>
              <w:top w:w="0" w:type="dxa"/>
              <w:bottom w:w="0" w:type="dxa"/>
            </w:tcMar>
            <w:vAlign w:val="center"/>
          </w:tcPr>
          <w:p w:rsidR="00A863F1" w:rsidRDefault="00C52735">
            <w:pPr>
              <w:keepNext/>
              <w:keepLines/>
              <w:spacing w:after="0" w:line="240" w:lineRule="auto"/>
              <w:jc w:val="right"/>
            </w:pPr>
            <w:r>
              <w:rPr>
                <w:b/>
                <w:sz w:val="18"/>
              </w:rPr>
              <w:t>48,2</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8</w:t>
            </w:r>
          </w:p>
        </w:tc>
        <w:tc>
          <w:tcPr>
            <w:tcW w:w="3180" w:type="dxa"/>
            <w:tcMar>
              <w:top w:w="0" w:type="dxa"/>
              <w:bottom w:w="0" w:type="dxa"/>
            </w:tcMar>
            <w:vAlign w:val="center"/>
          </w:tcPr>
          <w:p w:rsidR="00A863F1" w:rsidRDefault="00C52735">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A863F1" w:rsidRDefault="00C52735">
            <w:pPr>
              <w:keepNext/>
              <w:keepLines/>
              <w:spacing w:after="0" w:line="240" w:lineRule="auto"/>
            </w:pPr>
            <w:r>
              <w:rPr>
                <w:sz w:val="18"/>
              </w:rPr>
              <w:t>8</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5</w:t>
            </w:r>
          </w:p>
        </w:tc>
        <w:tc>
          <w:tcPr>
            <w:tcW w:w="3180" w:type="dxa"/>
            <w:tcMar>
              <w:top w:w="0" w:type="dxa"/>
              <w:bottom w:w="0" w:type="dxa"/>
            </w:tcMar>
            <w:vAlign w:val="center"/>
          </w:tcPr>
          <w:p w:rsidR="00A863F1" w:rsidRDefault="00C52735">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A863F1" w:rsidRDefault="00C52735">
            <w:pPr>
              <w:keepNext/>
              <w:keepLines/>
              <w:spacing w:after="0" w:line="240" w:lineRule="auto"/>
            </w:pPr>
            <w:r>
              <w:rPr>
                <w:sz w:val="18"/>
              </w:rPr>
              <w:t>5</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A863F1" w:rsidRDefault="00C52735">
            <w:pPr>
              <w:keepNext/>
              <w:keepLines/>
              <w:spacing w:after="0" w:line="240" w:lineRule="auto"/>
            </w:pPr>
            <w:r>
              <w:rPr>
                <w:b/>
                <w:sz w:val="18"/>
              </w:rPr>
              <w:t>X003, Y003</w:t>
            </w:r>
          </w:p>
        </w:tc>
        <w:tc>
          <w:tcPr>
            <w:tcW w:w="1860" w:type="dxa"/>
            <w:tcMar>
              <w:top w:w="0" w:type="dxa"/>
              <w:bottom w:w="0" w:type="dxa"/>
            </w:tcMar>
            <w:vAlign w:val="center"/>
          </w:tcPr>
          <w:p w:rsidR="00A863F1" w:rsidRDefault="00C52735">
            <w:pPr>
              <w:keepNext/>
              <w:keepLines/>
              <w:spacing w:after="0" w:line="240" w:lineRule="auto"/>
              <w:jc w:val="right"/>
            </w:pPr>
            <w:r>
              <w:rPr>
                <w:b/>
                <w:sz w:val="18"/>
              </w:rPr>
              <w:t>0,00</w:t>
            </w:r>
          </w:p>
        </w:tc>
        <w:tc>
          <w:tcPr>
            <w:tcW w:w="1860" w:type="dxa"/>
            <w:tcMar>
              <w:top w:w="0" w:type="dxa"/>
              <w:bottom w:w="0" w:type="dxa"/>
            </w:tcMar>
            <w:vAlign w:val="center"/>
          </w:tcPr>
          <w:p w:rsidR="00A863F1" w:rsidRDefault="00C52735">
            <w:pPr>
              <w:keepNext/>
              <w:keepLines/>
              <w:spacing w:after="0" w:line="240" w:lineRule="auto"/>
              <w:jc w:val="right"/>
            </w:pPr>
            <w:r>
              <w:rPr>
                <w:b/>
                <w:sz w:val="18"/>
              </w:rPr>
              <w:t>0,00</w:t>
            </w:r>
          </w:p>
        </w:tc>
        <w:tc>
          <w:tcPr>
            <w:tcW w:w="700" w:type="dxa"/>
            <w:tcMar>
              <w:top w:w="0" w:type="dxa"/>
              <w:bottom w:w="0" w:type="dxa"/>
            </w:tcMar>
            <w:vAlign w:val="center"/>
          </w:tcPr>
          <w:p w:rsidR="00A863F1" w:rsidRDefault="00C52735">
            <w:pPr>
              <w:keepNext/>
              <w:keepLines/>
              <w:spacing w:after="0" w:line="240" w:lineRule="auto"/>
              <w:jc w:val="right"/>
            </w:pPr>
            <w:r>
              <w:rPr>
                <w:b/>
                <w:sz w:val="18"/>
              </w:rPr>
              <w:t>-</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b/>
                <w:sz w:val="18"/>
              </w:rPr>
              <w:t>VIŠAK PRIHODA I PRIMITAKA (šifre X678-Y345)</w:t>
            </w:r>
          </w:p>
        </w:tc>
        <w:tc>
          <w:tcPr>
            <w:tcW w:w="700" w:type="dxa"/>
            <w:tcMar>
              <w:top w:w="0" w:type="dxa"/>
              <w:bottom w:w="0" w:type="dxa"/>
            </w:tcMar>
            <w:vAlign w:val="center"/>
          </w:tcPr>
          <w:p w:rsidR="00A863F1" w:rsidRDefault="00C52735">
            <w:pPr>
              <w:keepNext/>
              <w:keepLines/>
              <w:spacing w:after="0" w:line="240" w:lineRule="auto"/>
            </w:pPr>
            <w:r>
              <w:rPr>
                <w:b/>
                <w:sz w:val="18"/>
              </w:rPr>
              <w:t>X005</w:t>
            </w:r>
          </w:p>
        </w:tc>
        <w:tc>
          <w:tcPr>
            <w:tcW w:w="1860" w:type="dxa"/>
            <w:tcMar>
              <w:top w:w="0" w:type="dxa"/>
              <w:bottom w:w="0" w:type="dxa"/>
            </w:tcMar>
            <w:vAlign w:val="center"/>
          </w:tcPr>
          <w:p w:rsidR="00A863F1" w:rsidRDefault="00C52735">
            <w:pPr>
              <w:keepNext/>
              <w:keepLines/>
              <w:spacing w:after="0" w:line="240" w:lineRule="auto"/>
              <w:jc w:val="right"/>
            </w:pPr>
            <w:r>
              <w:rPr>
                <w:b/>
                <w:sz w:val="18"/>
              </w:rPr>
              <w:t>0,00</w:t>
            </w:r>
          </w:p>
        </w:tc>
        <w:tc>
          <w:tcPr>
            <w:tcW w:w="1860" w:type="dxa"/>
            <w:tcMar>
              <w:top w:w="0" w:type="dxa"/>
              <w:bottom w:w="0" w:type="dxa"/>
            </w:tcMar>
            <w:vAlign w:val="center"/>
          </w:tcPr>
          <w:p w:rsidR="00A863F1" w:rsidRDefault="00C52735">
            <w:pPr>
              <w:keepNext/>
              <w:keepLines/>
              <w:spacing w:after="0" w:line="240" w:lineRule="auto"/>
              <w:jc w:val="right"/>
            </w:pPr>
            <w:r>
              <w:rPr>
                <w:b/>
                <w:sz w:val="18"/>
              </w:rPr>
              <w:t>39.500,51</w:t>
            </w:r>
          </w:p>
        </w:tc>
        <w:tc>
          <w:tcPr>
            <w:tcW w:w="700" w:type="dxa"/>
            <w:tcMar>
              <w:top w:w="0" w:type="dxa"/>
              <w:bottom w:w="0" w:type="dxa"/>
            </w:tcMar>
            <w:vAlign w:val="center"/>
          </w:tcPr>
          <w:p w:rsidR="00A863F1" w:rsidRDefault="00C52735">
            <w:pPr>
              <w:keepNext/>
              <w:keepLines/>
              <w:spacing w:after="0" w:line="240" w:lineRule="auto"/>
              <w:jc w:val="right"/>
            </w:pPr>
            <w:r>
              <w:rPr>
                <w:b/>
                <w:sz w:val="18"/>
              </w:rPr>
              <w:t>-</w:t>
            </w:r>
          </w:p>
        </w:tc>
      </w:tr>
    </w:tbl>
    <w:p w:rsidR="00A863F1" w:rsidRDefault="00A863F1">
      <w:pPr>
        <w:spacing w:after="0"/>
      </w:pPr>
    </w:p>
    <w:p w:rsidR="00A863F1" w:rsidRDefault="00C52735">
      <w:pPr>
        <w:spacing w:line="240" w:lineRule="auto"/>
        <w:jc w:val="both"/>
      </w:pPr>
      <w:r>
        <w:t xml:space="preserve">U razdoblju od 1.1.2025. do 30.06. 2025. ostvaren je višak prihoda poslovanja u </w:t>
      </w:r>
      <w:r>
        <w:t>iznosu od 40.236,74 eura te manjak prihoda od nefinancijske imovine u iznosu od 736,23 eura. Ukupan višak prihoda iznosi 39.500,51 eura što zajedno sa prenesenim manjkom iz prethodne godine od 578,56 eura čini 38.921,59 eura viška prihoda raspoloživog u sl</w:t>
      </w:r>
      <w:r>
        <w:t>jedećem razdoblju.</w:t>
      </w:r>
    </w:p>
    <w:p w:rsidR="00A863F1" w:rsidRDefault="00C52735">
      <w:r>
        <w:br/>
      </w:r>
    </w:p>
    <w:p w:rsidR="00A863F1" w:rsidRDefault="00C52735">
      <w:pPr>
        <w:keepNext/>
        <w:spacing w:line="240" w:lineRule="auto"/>
        <w:jc w:val="center"/>
      </w:pPr>
      <w:r>
        <w:rPr>
          <w:sz w:val="28"/>
        </w:rPr>
        <w:lastRenderedPageBreak/>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w:t>
            </w:r>
          </w:p>
        </w:tc>
        <w:tc>
          <w:tcPr>
            <w:tcW w:w="3180" w:type="dxa"/>
            <w:tcMar>
              <w:top w:w="0" w:type="dxa"/>
              <w:bottom w:w="0" w:type="dxa"/>
            </w:tcMar>
            <w:vAlign w:val="center"/>
          </w:tcPr>
          <w:p w:rsidR="00A863F1" w:rsidRDefault="00C52735">
            <w:pPr>
              <w:keepNext/>
              <w:keepLines/>
              <w:spacing w:after="0" w:line="240" w:lineRule="auto"/>
            </w:pPr>
            <w:r>
              <w:rPr>
                <w:sz w:val="18"/>
              </w:rPr>
              <w:t>PRIHODI POSLOVANJA (šifre 61+62+63+64+65+66+67+68)</w:t>
            </w:r>
          </w:p>
        </w:tc>
        <w:tc>
          <w:tcPr>
            <w:tcW w:w="700" w:type="dxa"/>
            <w:tcMar>
              <w:top w:w="0" w:type="dxa"/>
              <w:bottom w:w="0" w:type="dxa"/>
            </w:tcMar>
            <w:vAlign w:val="center"/>
          </w:tcPr>
          <w:p w:rsidR="00A863F1" w:rsidRDefault="00C52735">
            <w:pPr>
              <w:keepNext/>
              <w:keepLines/>
              <w:spacing w:after="0" w:line="240" w:lineRule="auto"/>
            </w:pPr>
            <w:r>
              <w:rPr>
                <w:sz w:val="18"/>
              </w:rPr>
              <w:t>6</w:t>
            </w:r>
          </w:p>
        </w:tc>
        <w:tc>
          <w:tcPr>
            <w:tcW w:w="1860" w:type="dxa"/>
            <w:tcMar>
              <w:top w:w="0" w:type="dxa"/>
              <w:bottom w:w="0" w:type="dxa"/>
            </w:tcMar>
            <w:vAlign w:val="center"/>
          </w:tcPr>
          <w:p w:rsidR="00A863F1" w:rsidRDefault="00C52735">
            <w:pPr>
              <w:keepNext/>
              <w:keepLines/>
              <w:spacing w:after="0" w:line="240" w:lineRule="auto"/>
              <w:jc w:val="right"/>
            </w:pPr>
            <w:r>
              <w:rPr>
                <w:sz w:val="18"/>
              </w:rPr>
              <w:t>336.336,82</w:t>
            </w:r>
          </w:p>
        </w:tc>
        <w:tc>
          <w:tcPr>
            <w:tcW w:w="1860" w:type="dxa"/>
            <w:tcMar>
              <w:top w:w="0" w:type="dxa"/>
              <w:bottom w:w="0" w:type="dxa"/>
            </w:tcMar>
            <w:vAlign w:val="center"/>
          </w:tcPr>
          <w:p w:rsidR="00A863F1" w:rsidRDefault="00C52735">
            <w:pPr>
              <w:keepNext/>
              <w:keepLines/>
              <w:spacing w:after="0" w:line="240" w:lineRule="auto"/>
              <w:jc w:val="right"/>
            </w:pPr>
            <w:r>
              <w:rPr>
                <w:sz w:val="18"/>
              </w:rPr>
              <w:t>553.025,87</w:t>
            </w:r>
          </w:p>
        </w:tc>
        <w:tc>
          <w:tcPr>
            <w:tcW w:w="700" w:type="dxa"/>
            <w:tcMar>
              <w:top w:w="0" w:type="dxa"/>
              <w:bottom w:w="0" w:type="dxa"/>
            </w:tcMar>
            <w:vAlign w:val="center"/>
          </w:tcPr>
          <w:p w:rsidR="00A863F1" w:rsidRDefault="00C52735">
            <w:pPr>
              <w:keepNext/>
              <w:keepLines/>
              <w:spacing w:after="0" w:line="240" w:lineRule="auto"/>
              <w:jc w:val="right"/>
            </w:pPr>
            <w:r>
              <w:rPr>
                <w:sz w:val="18"/>
              </w:rPr>
              <w:t>164,4</w:t>
            </w:r>
          </w:p>
        </w:tc>
      </w:tr>
    </w:tbl>
    <w:p w:rsidR="00A863F1" w:rsidRDefault="00A863F1">
      <w:pPr>
        <w:spacing w:after="0"/>
      </w:pPr>
    </w:p>
    <w:p w:rsidR="00A863F1" w:rsidRDefault="00C52735">
      <w:pPr>
        <w:spacing w:line="240" w:lineRule="auto"/>
        <w:jc w:val="both"/>
      </w:pPr>
      <w:r>
        <w:t xml:space="preserve">Ukupni prihodi poslovanja za razdoblje 01.01.2025. – 30.06.2026. godine  ostvareni su u iznosu od 553.025,87 eura, a sastoje se od Pomoći iz inozemstva i od subjekata unutar općeg proračuna, Prihoda od imovine, Prihoda od upravnih i </w:t>
      </w:r>
      <w:r>
        <w:t>administrativnih pristojbi po posebnim propisima i naknada, Prihoda od donacija, Prihoda iz nadležnog proračuna i ostalih prihoda, a veći su za 216.689,05 € u odnosu na isto razdoblje prethodne godine.</w:t>
      </w:r>
    </w:p>
    <w:p w:rsidR="00A863F1" w:rsidRDefault="00A863F1"/>
    <w:p w:rsidR="00A863F1" w:rsidRDefault="00C52735">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w:t>
            </w:r>
            <w:r>
              <w:rPr>
                <w:b/>
                <w:sz w:val="18"/>
              </w:rPr>
              <w: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616</w:t>
            </w:r>
          </w:p>
        </w:tc>
        <w:tc>
          <w:tcPr>
            <w:tcW w:w="3180" w:type="dxa"/>
            <w:tcMar>
              <w:top w:w="0" w:type="dxa"/>
              <w:bottom w:w="0" w:type="dxa"/>
            </w:tcMar>
            <w:vAlign w:val="center"/>
          </w:tcPr>
          <w:p w:rsidR="00A863F1" w:rsidRDefault="00C52735">
            <w:pPr>
              <w:keepNext/>
              <w:keepLines/>
              <w:spacing w:after="0" w:line="240" w:lineRule="auto"/>
            </w:pPr>
            <w:r>
              <w:rPr>
                <w:sz w:val="18"/>
              </w:rPr>
              <w:t>Ostali prihodi od poreza (šifre 6161 do 6163)</w:t>
            </w:r>
          </w:p>
        </w:tc>
        <w:tc>
          <w:tcPr>
            <w:tcW w:w="700" w:type="dxa"/>
            <w:tcMar>
              <w:top w:w="0" w:type="dxa"/>
              <w:bottom w:w="0" w:type="dxa"/>
            </w:tcMar>
            <w:vAlign w:val="center"/>
          </w:tcPr>
          <w:p w:rsidR="00A863F1" w:rsidRDefault="00C52735">
            <w:pPr>
              <w:keepNext/>
              <w:keepLines/>
              <w:spacing w:after="0" w:line="240" w:lineRule="auto"/>
            </w:pPr>
            <w:r>
              <w:rPr>
                <w:sz w:val="18"/>
              </w:rPr>
              <w:t>616</w:t>
            </w:r>
          </w:p>
        </w:tc>
        <w:tc>
          <w:tcPr>
            <w:tcW w:w="1860" w:type="dxa"/>
            <w:tcMar>
              <w:top w:w="0" w:type="dxa"/>
              <w:bottom w:w="0" w:type="dxa"/>
            </w:tcMar>
            <w:vAlign w:val="center"/>
          </w:tcPr>
          <w:p w:rsidR="00A863F1" w:rsidRDefault="00C52735">
            <w:pPr>
              <w:keepNext/>
              <w:keepLines/>
              <w:spacing w:after="0" w:line="240" w:lineRule="auto"/>
              <w:jc w:val="right"/>
            </w:pPr>
            <w:r>
              <w:rPr>
                <w:sz w:val="18"/>
              </w:rPr>
              <w:t>0,00</w:t>
            </w:r>
          </w:p>
        </w:tc>
        <w:tc>
          <w:tcPr>
            <w:tcW w:w="1860" w:type="dxa"/>
            <w:tcMar>
              <w:top w:w="0" w:type="dxa"/>
              <w:bottom w:w="0" w:type="dxa"/>
            </w:tcMar>
            <w:vAlign w:val="center"/>
          </w:tcPr>
          <w:p w:rsidR="00A863F1" w:rsidRDefault="00C52735">
            <w:pPr>
              <w:keepNext/>
              <w:keepLines/>
              <w:spacing w:after="0" w:line="240" w:lineRule="auto"/>
              <w:jc w:val="right"/>
            </w:pPr>
            <w:r>
              <w:rPr>
                <w:sz w:val="18"/>
              </w:rPr>
              <w:t>293,19</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bl>
    <w:p w:rsidR="00A863F1" w:rsidRDefault="00A863F1">
      <w:pPr>
        <w:spacing w:after="0"/>
      </w:pPr>
    </w:p>
    <w:p w:rsidR="00A863F1" w:rsidRDefault="00C52735">
      <w:pPr>
        <w:spacing w:line="240" w:lineRule="auto"/>
        <w:jc w:val="both"/>
      </w:pPr>
      <w:r>
        <w:t>Ovaj prihod prethodnom razdoblju nije bio evidentiran, a odnosi se na povrat</w:t>
      </w:r>
      <w:r>
        <w:t xml:space="preserve"> poreza pri godišnjem obračunu plaće za 2024. godinu.</w:t>
      </w:r>
    </w:p>
    <w:p w:rsidR="00A863F1" w:rsidRDefault="00A863F1"/>
    <w:p w:rsidR="00A863F1" w:rsidRDefault="00C52735">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63</w:t>
            </w:r>
          </w:p>
        </w:tc>
        <w:tc>
          <w:tcPr>
            <w:tcW w:w="3180" w:type="dxa"/>
            <w:tcMar>
              <w:top w:w="0" w:type="dxa"/>
              <w:bottom w:w="0" w:type="dxa"/>
            </w:tcMar>
            <w:vAlign w:val="center"/>
          </w:tcPr>
          <w:p w:rsidR="00A863F1" w:rsidRDefault="00C52735">
            <w:pPr>
              <w:keepNext/>
              <w:keepLines/>
              <w:spacing w:after="0" w:line="240" w:lineRule="auto"/>
            </w:pPr>
            <w:r>
              <w:rPr>
                <w:sz w:val="18"/>
              </w:rPr>
              <w:t>Pomoći iz inozemstva i od subjekata</w:t>
            </w:r>
            <w:r>
              <w:rPr>
                <w:sz w:val="18"/>
              </w:rPr>
              <w:t xml:space="preserve"> unutar općeg proračuna (šifre 631+632+633+634+635+636+637+638+639)</w:t>
            </w:r>
          </w:p>
        </w:tc>
        <w:tc>
          <w:tcPr>
            <w:tcW w:w="700" w:type="dxa"/>
            <w:tcMar>
              <w:top w:w="0" w:type="dxa"/>
              <w:bottom w:w="0" w:type="dxa"/>
            </w:tcMar>
            <w:vAlign w:val="center"/>
          </w:tcPr>
          <w:p w:rsidR="00A863F1" w:rsidRDefault="00C52735">
            <w:pPr>
              <w:keepNext/>
              <w:keepLines/>
              <w:spacing w:after="0" w:line="240" w:lineRule="auto"/>
            </w:pPr>
            <w:r>
              <w:rPr>
                <w:sz w:val="18"/>
              </w:rPr>
              <w:t>63</w:t>
            </w:r>
          </w:p>
        </w:tc>
        <w:tc>
          <w:tcPr>
            <w:tcW w:w="1860" w:type="dxa"/>
            <w:tcMar>
              <w:top w:w="0" w:type="dxa"/>
              <w:bottom w:w="0" w:type="dxa"/>
            </w:tcMar>
            <w:vAlign w:val="center"/>
          </w:tcPr>
          <w:p w:rsidR="00A863F1" w:rsidRDefault="00C52735">
            <w:pPr>
              <w:keepNext/>
              <w:keepLines/>
              <w:spacing w:after="0" w:line="240" w:lineRule="auto"/>
              <w:jc w:val="right"/>
            </w:pPr>
            <w:r>
              <w:rPr>
                <w:sz w:val="18"/>
              </w:rPr>
              <w:t>11.831,38</w:t>
            </w:r>
          </w:p>
        </w:tc>
        <w:tc>
          <w:tcPr>
            <w:tcW w:w="1860" w:type="dxa"/>
            <w:tcMar>
              <w:top w:w="0" w:type="dxa"/>
              <w:bottom w:w="0" w:type="dxa"/>
            </w:tcMar>
            <w:vAlign w:val="center"/>
          </w:tcPr>
          <w:p w:rsidR="00A863F1" w:rsidRDefault="00C52735">
            <w:pPr>
              <w:keepNext/>
              <w:keepLines/>
              <w:spacing w:after="0" w:line="240" w:lineRule="auto"/>
              <w:jc w:val="right"/>
            </w:pPr>
            <w:r>
              <w:rPr>
                <w:sz w:val="18"/>
              </w:rPr>
              <w:t>14.701,19</w:t>
            </w:r>
          </w:p>
        </w:tc>
        <w:tc>
          <w:tcPr>
            <w:tcW w:w="700" w:type="dxa"/>
            <w:tcMar>
              <w:top w:w="0" w:type="dxa"/>
              <w:bottom w:w="0" w:type="dxa"/>
            </w:tcMar>
            <w:vAlign w:val="center"/>
          </w:tcPr>
          <w:p w:rsidR="00A863F1" w:rsidRDefault="00C52735">
            <w:pPr>
              <w:keepNext/>
              <w:keepLines/>
              <w:spacing w:after="0" w:line="240" w:lineRule="auto"/>
              <w:jc w:val="right"/>
            </w:pPr>
            <w:r>
              <w:rPr>
                <w:sz w:val="18"/>
              </w:rPr>
              <w:t>124,3</w:t>
            </w:r>
          </w:p>
        </w:tc>
      </w:tr>
    </w:tbl>
    <w:p w:rsidR="00A863F1" w:rsidRDefault="00A863F1">
      <w:pPr>
        <w:spacing w:after="0"/>
      </w:pPr>
    </w:p>
    <w:p w:rsidR="00A863F1" w:rsidRDefault="00C52735">
      <w:pPr>
        <w:spacing w:line="240" w:lineRule="auto"/>
        <w:jc w:val="both"/>
      </w:pPr>
      <w:r>
        <w:t xml:space="preserve">Pomoći iz inozemstva i od subjekata unutar općeg proračuna iznose 14.701,19 eura  i veći su za 2.869,81 eura u odnosu na prethodno izvještajno razdoblje, a </w:t>
      </w:r>
      <w:r>
        <w:t>odnose se tekuće pomoći za sufinanciranje cijene usluga vrtića za djecu drugih općina te prihode iz Ministarstva znanosti i obrazovanja za sufinanciranje programa predškolskog odgoja i obrazovanja djece predškolske dobi pripadnika nacionalnih manjina, prih</w:t>
      </w:r>
      <w:r>
        <w:t xml:space="preserve">ode za </w:t>
      </w:r>
      <w:proofErr w:type="spellStart"/>
      <w:r>
        <w:t>predškolu</w:t>
      </w:r>
      <w:proofErr w:type="spellEnd"/>
      <w:r>
        <w:t xml:space="preserve"> te prihode za sufinanciranje programa za djecu predškolske dobi s teškoćama u razvoju. Do povećanja prihoda je došlo zbog povećanja ekonomske cijene vrtiće te zbog toga što većina djece polaznika pripada u najveću kategoriju cijene boravka</w:t>
      </w:r>
      <w:r>
        <w:t xml:space="preserve"> vrtića prema godišnjem </w:t>
      </w:r>
      <w:proofErr w:type="spellStart"/>
      <w:r>
        <w:t>reobračunu</w:t>
      </w:r>
      <w:proofErr w:type="spellEnd"/>
      <w:r>
        <w:t xml:space="preserve"> cijene plaćanja vrtića sukladno potvrdama porezne uprave o visini dohotka i primitka.</w:t>
      </w:r>
    </w:p>
    <w:p w:rsidR="00A863F1" w:rsidRDefault="00A863F1"/>
    <w:p w:rsidR="00A863F1" w:rsidRDefault="00C52735">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w:t>
            </w:r>
            <w:r>
              <w:rPr>
                <w:b/>
                <w:sz w:val="18"/>
              </w:rPr>
              <w:t>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64</w:t>
            </w:r>
          </w:p>
        </w:tc>
        <w:tc>
          <w:tcPr>
            <w:tcW w:w="3180" w:type="dxa"/>
            <w:tcMar>
              <w:top w:w="0" w:type="dxa"/>
              <w:bottom w:w="0" w:type="dxa"/>
            </w:tcMar>
            <w:vAlign w:val="center"/>
          </w:tcPr>
          <w:p w:rsidR="00A863F1" w:rsidRDefault="00C52735">
            <w:pPr>
              <w:keepNext/>
              <w:keepLines/>
              <w:spacing w:after="0" w:line="240" w:lineRule="auto"/>
            </w:pPr>
            <w:r>
              <w:rPr>
                <w:sz w:val="18"/>
              </w:rPr>
              <w:t>Prihodi od imovine (šifre 641+642+643)</w:t>
            </w:r>
          </w:p>
        </w:tc>
        <w:tc>
          <w:tcPr>
            <w:tcW w:w="700" w:type="dxa"/>
            <w:tcMar>
              <w:top w:w="0" w:type="dxa"/>
              <w:bottom w:w="0" w:type="dxa"/>
            </w:tcMar>
            <w:vAlign w:val="center"/>
          </w:tcPr>
          <w:p w:rsidR="00A863F1" w:rsidRDefault="00C52735">
            <w:pPr>
              <w:keepNext/>
              <w:keepLines/>
              <w:spacing w:after="0" w:line="240" w:lineRule="auto"/>
            </w:pPr>
            <w:r>
              <w:rPr>
                <w:sz w:val="18"/>
              </w:rPr>
              <w:t>64</w:t>
            </w:r>
          </w:p>
        </w:tc>
        <w:tc>
          <w:tcPr>
            <w:tcW w:w="1860" w:type="dxa"/>
            <w:tcMar>
              <w:top w:w="0" w:type="dxa"/>
              <w:bottom w:w="0" w:type="dxa"/>
            </w:tcMar>
            <w:vAlign w:val="center"/>
          </w:tcPr>
          <w:p w:rsidR="00A863F1" w:rsidRDefault="00C52735">
            <w:pPr>
              <w:keepNext/>
              <w:keepLines/>
              <w:spacing w:after="0" w:line="240" w:lineRule="auto"/>
              <w:jc w:val="right"/>
            </w:pPr>
            <w:r>
              <w:rPr>
                <w:sz w:val="18"/>
              </w:rPr>
              <w:t>276,28</w:t>
            </w:r>
          </w:p>
        </w:tc>
        <w:tc>
          <w:tcPr>
            <w:tcW w:w="1860" w:type="dxa"/>
            <w:tcMar>
              <w:top w:w="0" w:type="dxa"/>
              <w:bottom w:w="0" w:type="dxa"/>
            </w:tcMar>
            <w:vAlign w:val="center"/>
          </w:tcPr>
          <w:p w:rsidR="00A863F1" w:rsidRDefault="00C52735">
            <w:pPr>
              <w:keepNext/>
              <w:keepLines/>
              <w:spacing w:after="0" w:line="240" w:lineRule="auto"/>
              <w:jc w:val="right"/>
            </w:pPr>
            <w:r>
              <w:rPr>
                <w:sz w:val="18"/>
              </w:rPr>
              <w:t>1.440,11</w:t>
            </w:r>
          </w:p>
        </w:tc>
        <w:tc>
          <w:tcPr>
            <w:tcW w:w="700" w:type="dxa"/>
            <w:tcMar>
              <w:top w:w="0" w:type="dxa"/>
              <w:bottom w:w="0" w:type="dxa"/>
            </w:tcMar>
            <w:vAlign w:val="center"/>
          </w:tcPr>
          <w:p w:rsidR="00A863F1" w:rsidRDefault="00C52735">
            <w:pPr>
              <w:keepNext/>
              <w:keepLines/>
              <w:spacing w:after="0" w:line="240" w:lineRule="auto"/>
              <w:jc w:val="right"/>
            </w:pPr>
            <w:r>
              <w:rPr>
                <w:sz w:val="18"/>
              </w:rPr>
              <w:t>521,3</w:t>
            </w:r>
          </w:p>
        </w:tc>
      </w:tr>
    </w:tbl>
    <w:p w:rsidR="00A863F1" w:rsidRDefault="00A863F1">
      <w:pPr>
        <w:spacing w:after="0"/>
      </w:pPr>
    </w:p>
    <w:p w:rsidR="00A863F1" w:rsidRDefault="00C52735">
      <w:pPr>
        <w:spacing w:line="240" w:lineRule="auto"/>
        <w:jc w:val="both"/>
      </w:pPr>
      <w:r>
        <w:t xml:space="preserve">Prihodi od imovine ostvareni su u iznosu od 1.440,11 eura i veći su za 1.163,83 eura u odnosu na prethodno razdoblje zbog toga što se povećao iznos na </w:t>
      </w:r>
      <w:r>
        <w:t>bankovnom računu što je dovelo i do povećanja kamate.</w:t>
      </w:r>
    </w:p>
    <w:p w:rsidR="00A863F1" w:rsidRDefault="00A863F1"/>
    <w:p w:rsidR="00A863F1" w:rsidRDefault="00C52735">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65</w:t>
            </w:r>
          </w:p>
        </w:tc>
        <w:tc>
          <w:tcPr>
            <w:tcW w:w="3180" w:type="dxa"/>
            <w:tcMar>
              <w:top w:w="0" w:type="dxa"/>
              <w:bottom w:w="0" w:type="dxa"/>
            </w:tcMar>
            <w:vAlign w:val="center"/>
          </w:tcPr>
          <w:p w:rsidR="00A863F1" w:rsidRDefault="00C52735">
            <w:pPr>
              <w:keepNext/>
              <w:keepLines/>
              <w:spacing w:after="0" w:line="240" w:lineRule="auto"/>
            </w:pPr>
            <w:r>
              <w:rPr>
                <w:sz w:val="18"/>
              </w:rPr>
              <w:t xml:space="preserve">Prihodi od upravnih i </w:t>
            </w:r>
            <w:r>
              <w:rPr>
                <w:sz w:val="18"/>
              </w:rPr>
              <w:t>administrativnih pristojbi, pristojbi po posebnim propisima i naknada (šifre 651+652+653+654)</w:t>
            </w:r>
          </w:p>
        </w:tc>
        <w:tc>
          <w:tcPr>
            <w:tcW w:w="700" w:type="dxa"/>
            <w:tcMar>
              <w:top w:w="0" w:type="dxa"/>
              <w:bottom w:w="0" w:type="dxa"/>
            </w:tcMar>
            <w:vAlign w:val="center"/>
          </w:tcPr>
          <w:p w:rsidR="00A863F1" w:rsidRDefault="00C52735">
            <w:pPr>
              <w:keepNext/>
              <w:keepLines/>
              <w:spacing w:after="0" w:line="240" w:lineRule="auto"/>
            </w:pPr>
            <w:r>
              <w:rPr>
                <w:sz w:val="18"/>
              </w:rPr>
              <w:t>65</w:t>
            </w:r>
          </w:p>
        </w:tc>
        <w:tc>
          <w:tcPr>
            <w:tcW w:w="1860" w:type="dxa"/>
            <w:tcMar>
              <w:top w:w="0" w:type="dxa"/>
              <w:bottom w:w="0" w:type="dxa"/>
            </w:tcMar>
            <w:vAlign w:val="center"/>
          </w:tcPr>
          <w:p w:rsidR="00A863F1" w:rsidRDefault="00C52735">
            <w:pPr>
              <w:keepNext/>
              <w:keepLines/>
              <w:spacing w:after="0" w:line="240" w:lineRule="auto"/>
              <w:jc w:val="right"/>
            </w:pPr>
            <w:r>
              <w:rPr>
                <w:sz w:val="18"/>
              </w:rPr>
              <w:t>71.151,73</w:t>
            </w:r>
          </w:p>
        </w:tc>
        <w:tc>
          <w:tcPr>
            <w:tcW w:w="1860" w:type="dxa"/>
            <w:tcMar>
              <w:top w:w="0" w:type="dxa"/>
              <w:bottom w:w="0" w:type="dxa"/>
            </w:tcMar>
            <w:vAlign w:val="center"/>
          </w:tcPr>
          <w:p w:rsidR="00A863F1" w:rsidRDefault="00C52735">
            <w:pPr>
              <w:keepNext/>
              <w:keepLines/>
              <w:spacing w:after="0" w:line="240" w:lineRule="auto"/>
              <w:jc w:val="right"/>
            </w:pPr>
            <w:r>
              <w:rPr>
                <w:sz w:val="18"/>
              </w:rPr>
              <w:t>75.011,77</w:t>
            </w:r>
          </w:p>
        </w:tc>
        <w:tc>
          <w:tcPr>
            <w:tcW w:w="700" w:type="dxa"/>
            <w:tcMar>
              <w:top w:w="0" w:type="dxa"/>
              <w:bottom w:w="0" w:type="dxa"/>
            </w:tcMar>
            <w:vAlign w:val="center"/>
          </w:tcPr>
          <w:p w:rsidR="00A863F1" w:rsidRDefault="00C52735">
            <w:pPr>
              <w:keepNext/>
              <w:keepLines/>
              <w:spacing w:after="0" w:line="240" w:lineRule="auto"/>
              <w:jc w:val="right"/>
            </w:pPr>
            <w:r>
              <w:rPr>
                <w:sz w:val="18"/>
              </w:rPr>
              <w:t>105,4</w:t>
            </w:r>
          </w:p>
        </w:tc>
      </w:tr>
    </w:tbl>
    <w:p w:rsidR="00A863F1" w:rsidRDefault="00A863F1">
      <w:pPr>
        <w:spacing w:after="0"/>
      </w:pPr>
    </w:p>
    <w:p w:rsidR="00A863F1" w:rsidRDefault="00C52735">
      <w:pPr>
        <w:spacing w:line="240" w:lineRule="auto"/>
        <w:jc w:val="both"/>
      </w:pPr>
      <w:r>
        <w:t xml:space="preserve">Prihodi od upravnih i administrativnih pristojbi, pristojbi po posebnim propisima i naknadama te od prodaje proizvoda i roba </w:t>
      </w:r>
      <w:r>
        <w:t>ostvaren je  u iznosu od  75.011,77 eura što je za 3.860,04 eura više nego prethodne godine u istom razdoblju. Ovo povećanje se odnosi na sufinanciranje cijene usluga vrtića od strane roditelja, a do povećanja prihoda je došlo zbog većeg broja upisane djec</w:t>
      </w:r>
      <w:r>
        <w:t>e u vrtić iz drugih općina koji plaćaju punu ekonomsku cijenu te zbog povećanja iste.</w:t>
      </w:r>
    </w:p>
    <w:p w:rsidR="00A863F1" w:rsidRDefault="00A863F1"/>
    <w:p w:rsidR="00A863F1" w:rsidRDefault="00C52735">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66</w:t>
            </w:r>
          </w:p>
        </w:tc>
        <w:tc>
          <w:tcPr>
            <w:tcW w:w="3180" w:type="dxa"/>
            <w:tcMar>
              <w:top w:w="0" w:type="dxa"/>
              <w:bottom w:w="0" w:type="dxa"/>
            </w:tcMar>
            <w:vAlign w:val="center"/>
          </w:tcPr>
          <w:p w:rsidR="00A863F1" w:rsidRDefault="00C52735">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rsidR="00A863F1" w:rsidRDefault="00C52735">
            <w:pPr>
              <w:keepNext/>
              <w:keepLines/>
              <w:spacing w:after="0" w:line="240" w:lineRule="auto"/>
            </w:pPr>
            <w:r>
              <w:rPr>
                <w:sz w:val="18"/>
              </w:rPr>
              <w:t>66</w:t>
            </w:r>
          </w:p>
        </w:tc>
        <w:tc>
          <w:tcPr>
            <w:tcW w:w="1860" w:type="dxa"/>
            <w:tcMar>
              <w:top w:w="0" w:type="dxa"/>
              <w:bottom w:w="0" w:type="dxa"/>
            </w:tcMar>
            <w:vAlign w:val="center"/>
          </w:tcPr>
          <w:p w:rsidR="00A863F1" w:rsidRDefault="00C52735">
            <w:pPr>
              <w:keepNext/>
              <w:keepLines/>
              <w:spacing w:after="0" w:line="240" w:lineRule="auto"/>
              <w:jc w:val="right"/>
            </w:pPr>
            <w:r>
              <w:rPr>
                <w:sz w:val="18"/>
              </w:rPr>
              <w:t>2.741,80</w:t>
            </w:r>
          </w:p>
        </w:tc>
        <w:tc>
          <w:tcPr>
            <w:tcW w:w="1860" w:type="dxa"/>
            <w:tcMar>
              <w:top w:w="0" w:type="dxa"/>
              <w:bottom w:w="0" w:type="dxa"/>
            </w:tcMar>
            <w:vAlign w:val="center"/>
          </w:tcPr>
          <w:p w:rsidR="00A863F1" w:rsidRDefault="00C52735">
            <w:pPr>
              <w:keepNext/>
              <w:keepLines/>
              <w:spacing w:after="0" w:line="240" w:lineRule="auto"/>
              <w:jc w:val="right"/>
            </w:pPr>
            <w:r>
              <w:rPr>
                <w:sz w:val="18"/>
              </w:rPr>
              <w:t>110.400,00</w:t>
            </w:r>
          </w:p>
        </w:tc>
        <w:tc>
          <w:tcPr>
            <w:tcW w:w="700" w:type="dxa"/>
            <w:tcMar>
              <w:top w:w="0" w:type="dxa"/>
              <w:bottom w:w="0" w:type="dxa"/>
            </w:tcMar>
            <w:vAlign w:val="center"/>
          </w:tcPr>
          <w:p w:rsidR="00A863F1" w:rsidRDefault="00C52735">
            <w:pPr>
              <w:keepNext/>
              <w:keepLines/>
              <w:spacing w:after="0" w:line="240" w:lineRule="auto"/>
              <w:jc w:val="right"/>
            </w:pPr>
            <w:r>
              <w:rPr>
                <w:sz w:val="18"/>
              </w:rPr>
              <w:t>4026,6</w:t>
            </w:r>
          </w:p>
        </w:tc>
      </w:tr>
    </w:tbl>
    <w:p w:rsidR="00A863F1" w:rsidRDefault="00A863F1">
      <w:pPr>
        <w:spacing w:after="0"/>
      </w:pPr>
    </w:p>
    <w:p w:rsidR="00A863F1" w:rsidRDefault="00C52735">
      <w:pPr>
        <w:spacing w:line="240" w:lineRule="auto"/>
        <w:jc w:val="both"/>
      </w:pPr>
      <w:r>
        <w:t xml:space="preserve">Na podskupini donacije od pravnih i fizičkih osoba izvan općeg proračuna evidentirani prihodi </w:t>
      </w:r>
      <w:r>
        <w:t xml:space="preserve">u iznosu od 110.400,00 eura, što je za 107.658,20 eura više u odnosu na isto razdoblje prethodne godine. Prihod se odnosi na donaciju financijskih sredstava od Saveza Čeha koja su namijenjena za </w:t>
      </w:r>
      <w:proofErr w:type="spellStart"/>
      <w:r>
        <w:t>instituacionalnu</w:t>
      </w:r>
      <w:proofErr w:type="spellEnd"/>
      <w:r>
        <w:t xml:space="preserve"> potporu, rekonstrukciju dotrajale sjenice u </w:t>
      </w:r>
      <w:r>
        <w:t>vrtićkom dvorištu te za dogradnju, rekonstrukciju, adaptaciju i opremanje vrtića.</w:t>
      </w:r>
    </w:p>
    <w:p w:rsidR="00A863F1" w:rsidRDefault="00A863F1"/>
    <w:p w:rsidR="00A863F1" w:rsidRDefault="00C52735">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6631</w:t>
            </w:r>
          </w:p>
        </w:tc>
        <w:tc>
          <w:tcPr>
            <w:tcW w:w="3180" w:type="dxa"/>
            <w:tcMar>
              <w:top w:w="0" w:type="dxa"/>
              <w:bottom w:w="0" w:type="dxa"/>
            </w:tcMar>
            <w:vAlign w:val="center"/>
          </w:tcPr>
          <w:p w:rsidR="00A863F1" w:rsidRDefault="00C52735">
            <w:pPr>
              <w:keepNext/>
              <w:keepLines/>
              <w:spacing w:after="0" w:line="240" w:lineRule="auto"/>
            </w:pPr>
            <w:r>
              <w:rPr>
                <w:sz w:val="18"/>
              </w:rPr>
              <w:t>Tekuće donacije</w:t>
            </w:r>
          </w:p>
        </w:tc>
        <w:tc>
          <w:tcPr>
            <w:tcW w:w="700" w:type="dxa"/>
            <w:tcMar>
              <w:top w:w="0" w:type="dxa"/>
              <w:bottom w:w="0" w:type="dxa"/>
            </w:tcMar>
            <w:vAlign w:val="center"/>
          </w:tcPr>
          <w:p w:rsidR="00A863F1" w:rsidRDefault="00C52735">
            <w:pPr>
              <w:keepNext/>
              <w:keepLines/>
              <w:spacing w:after="0" w:line="240" w:lineRule="auto"/>
            </w:pPr>
            <w:r>
              <w:rPr>
                <w:sz w:val="18"/>
              </w:rPr>
              <w:t>6631</w:t>
            </w:r>
          </w:p>
        </w:tc>
        <w:tc>
          <w:tcPr>
            <w:tcW w:w="1860" w:type="dxa"/>
            <w:tcMar>
              <w:top w:w="0" w:type="dxa"/>
              <w:bottom w:w="0" w:type="dxa"/>
            </w:tcMar>
            <w:vAlign w:val="center"/>
          </w:tcPr>
          <w:p w:rsidR="00A863F1" w:rsidRDefault="00C52735">
            <w:pPr>
              <w:keepNext/>
              <w:keepLines/>
              <w:spacing w:after="0" w:line="240" w:lineRule="auto"/>
              <w:jc w:val="right"/>
            </w:pPr>
            <w:r>
              <w:rPr>
                <w:sz w:val="18"/>
              </w:rPr>
              <w:t>741,80</w:t>
            </w:r>
          </w:p>
        </w:tc>
        <w:tc>
          <w:tcPr>
            <w:tcW w:w="1860" w:type="dxa"/>
            <w:tcMar>
              <w:top w:w="0" w:type="dxa"/>
              <w:bottom w:w="0" w:type="dxa"/>
            </w:tcMar>
            <w:vAlign w:val="center"/>
          </w:tcPr>
          <w:p w:rsidR="00A863F1" w:rsidRDefault="00C52735">
            <w:pPr>
              <w:keepNext/>
              <w:keepLines/>
              <w:spacing w:after="0" w:line="240" w:lineRule="auto"/>
              <w:jc w:val="right"/>
            </w:pPr>
            <w:r>
              <w:rPr>
                <w:sz w:val="18"/>
              </w:rPr>
              <w:t>3.000,00</w:t>
            </w:r>
          </w:p>
        </w:tc>
        <w:tc>
          <w:tcPr>
            <w:tcW w:w="700" w:type="dxa"/>
            <w:tcMar>
              <w:top w:w="0" w:type="dxa"/>
              <w:bottom w:w="0" w:type="dxa"/>
            </w:tcMar>
            <w:vAlign w:val="center"/>
          </w:tcPr>
          <w:p w:rsidR="00A863F1" w:rsidRDefault="00C52735">
            <w:pPr>
              <w:keepNext/>
              <w:keepLines/>
              <w:spacing w:after="0" w:line="240" w:lineRule="auto"/>
              <w:jc w:val="right"/>
            </w:pPr>
            <w:r>
              <w:rPr>
                <w:sz w:val="18"/>
              </w:rPr>
              <w:t>404,4</w:t>
            </w:r>
          </w:p>
        </w:tc>
      </w:tr>
    </w:tbl>
    <w:p w:rsidR="00A863F1" w:rsidRDefault="00A863F1">
      <w:pPr>
        <w:spacing w:after="0"/>
      </w:pPr>
    </w:p>
    <w:p w:rsidR="00A863F1" w:rsidRDefault="00C52735">
      <w:pPr>
        <w:spacing w:line="240" w:lineRule="auto"/>
        <w:jc w:val="both"/>
      </w:pPr>
      <w:r>
        <w:t>Navedeni prihod se odnosi na donirana sredstva Institucionalne potpore od Saveza Čeha koja su utrošena na edukacijsko putovanje zaposlenika vrtića.</w:t>
      </w:r>
    </w:p>
    <w:p w:rsidR="00A863F1" w:rsidRDefault="00A863F1"/>
    <w:p w:rsidR="00A863F1" w:rsidRDefault="00C52735">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6632</w:t>
            </w:r>
          </w:p>
        </w:tc>
        <w:tc>
          <w:tcPr>
            <w:tcW w:w="3180" w:type="dxa"/>
            <w:tcMar>
              <w:top w:w="0" w:type="dxa"/>
              <w:bottom w:w="0" w:type="dxa"/>
            </w:tcMar>
            <w:vAlign w:val="center"/>
          </w:tcPr>
          <w:p w:rsidR="00A863F1" w:rsidRDefault="00C52735">
            <w:pPr>
              <w:keepNext/>
              <w:keepLines/>
              <w:spacing w:after="0" w:line="240" w:lineRule="auto"/>
            </w:pPr>
            <w:r>
              <w:rPr>
                <w:sz w:val="18"/>
              </w:rPr>
              <w:t>Kapitalne donacije</w:t>
            </w:r>
          </w:p>
        </w:tc>
        <w:tc>
          <w:tcPr>
            <w:tcW w:w="700" w:type="dxa"/>
            <w:tcMar>
              <w:top w:w="0" w:type="dxa"/>
              <w:bottom w:w="0" w:type="dxa"/>
            </w:tcMar>
            <w:vAlign w:val="center"/>
          </w:tcPr>
          <w:p w:rsidR="00A863F1" w:rsidRDefault="00C52735">
            <w:pPr>
              <w:keepNext/>
              <w:keepLines/>
              <w:spacing w:after="0" w:line="240" w:lineRule="auto"/>
            </w:pPr>
            <w:r>
              <w:rPr>
                <w:sz w:val="18"/>
              </w:rPr>
              <w:t>6632</w:t>
            </w:r>
          </w:p>
        </w:tc>
        <w:tc>
          <w:tcPr>
            <w:tcW w:w="1860" w:type="dxa"/>
            <w:tcMar>
              <w:top w:w="0" w:type="dxa"/>
              <w:bottom w:w="0" w:type="dxa"/>
            </w:tcMar>
            <w:vAlign w:val="center"/>
          </w:tcPr>
          <w:p w:rsidR="00A863F1" w:rsidRDefault="00C52735">
            <w:pPr>
              <w:keepNext/>
              <w:keepLines/>
              <w:spacing w:after="0" w:line="240" w:lineRule="auto"/>
              <w:jc w:val="right"/>
            </w:pPr>
            <w:r>
              <w:rPr>
                <w:sz w:val="18"/>
              </w:rPr>
              <w:t>2.000,00</w:t>
            </w:r>
          </w:p>
        </w:tc>
        <w:tc>
          <w:tcPr>
            <w:tcW w:w="1860" w:type="dxa"/>
            <w:tcMar>
              <w:top w:w="0" w:type="dxa"/>
              <w:bottom w:w="0" w:type="dxa"/>
            </w:tcMar>
            <w:vAlign w:val="center"/>
          </w:tcPr>
          <w:p w:rsidR="00A863F1" w:rsidRDefault="00C52735">
            <w:pPr>
              <w:keepNext/>
              <w:keepLines/>
              <w:spacing w:after="0" w:line="240" w:lineRule="auto"/>
              <w:jc w:val="right"/>
            </w:pPr>
            <w:r>
              <w:rPr>
                <w:sz w:val="18"/>
              </w:rPr>
              <w:t>107.400,00</w:t>
            </w:r>
          </w:p>
        </w:tc>
        <w:tc>
          <w:tcPr>
            <w:tcW w:w="700" w:type="dxa"/>
            <w:tcMar>
              <w:top w:w="0" w:type="dxa"/>
              <w:bottom w:w="0" w:type="dxa"/>
            </w:tcMar>
            <w:vAlign w:val="center"/>
          </w:tcPr>
          <w:p w:rsidR="00A863F1" w:rsidRDefault="00C52735">
            <w:pPr>
              <w:keepNext/>
              <w:keepLines/>
              <w:spacing w:after="0" w:line="240" w:lineRule="auto"/>
              <w:jc w:val="right"/>
            </w:pPr>
            <w:r>
              <w:rPr>
                <w:sz w:val="18"/>
              </w:rPr>
              <w:t>5370,0</w:t>
            </w:r>
          </w:p>
        </w:tc>
      </w:tr>
    </w:tbl>
    <w:p w:rsidR="00A863F1" w:rsidRDefault="00A863F1">
      <w:pPr>
        <w:spacing w:after="0"/>
      </w:pPr>
    </w:p>
    <w:p w:rsidR="00A863F1" w:rsidRDefault="00C52735">
      <w:pPr>
        <w:spacing w:line="240" w:lineRule="auto"/>
        <w:jc w:val="both"/>
      </w:pPr>
      <w:r>
        <w:t xml:space="preserve">Evidentirano povećanje odnosi se na donaciju financijskih sredstava od Saveza Čeha u RH u iznosu </w:t>
      </w:r>
      <w:r>
        <w:t>od 100.000,00 € koja su namijenjena za dogradnju, rekonstrukciju, adaptaciju i opremanje vrtića te 7.400,00 eura za rekonstrukciju i izgradnju dotrajale sjenice u dvorištu vrtića.</w:t>
      </w:r>
    </w:p>
    <w:p w:rsidR="00A863F1" w:rsidRDefault="00A863F1"/>
    <w:p w:rsidR="00A863F1" w:rsidRDefault="00C52735">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w:t>
            </w:r>
            <w:r>
              <w:rPr>
                <w:b/>
                <w:sz w:val="18"/>
              </w:rPr>
              <w:t xml:space="preserve">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6711</w:t>
            </w:r>
          </w:p>
        </w:tc>
        <w:tc>
          <w:tcPr>
            <w:tcW w:w="3180" w:type="dxa"/>
            <w:tcMar>
              <w:top w:w="0" w:type="dxa"/>
              <w:bottom w:w="0" w:type="dxa"/>
            </w:tcMar>
            <w:vAlign w:val="center"/>
          </w:tcPr>
          <w:p w:rsidR="00A863F1" w:rsidRDefault="00C52735">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rsidR="00A863F1" w:rsidRDefault="00C52735">
            <w:pPr>
              <w:keepNext/>
              <w:keepLines/>
              <w:spacing w:after="0" w:line="240" w:lineRule="auto"/>
            </w:pPr>
            <w:r>
              <w:rPr>
                <w:sz w:val="18"/>
              </w:rPr>
              <w:t>6711</w:t>
            </w:r>
          </w:p>
        </w:tc>
        <w:tc>
          <w:tcPr>
            <w:tcW w:w="1860" w:type="dxa"/>
            <w:tcMar>
              <w:top w:w="0" w:type="dxa"/>
              <w:bottom w:w="0" w:type="dxa"/>
            </w:tcMar>
            <w:vAlign w:val="center"/>
          </w:tcPr>
          <w:p w:rsidR="00A863F1" w:rsidRDefault="00C52735">
            <w:pPr>
              <w:keepNext/>
              <w:keepLines/>
              <w:spacing w:after="0" w:line="240" w:lineRule="auto"/>
              <w:jc w:val="right"/>
            </w:pPr>
            <w:r>
              <w:rPr>
                <w:sz w:val="18"/>
              </w:rPr>
              <w:t>250.002,01</w:t>
            </w:r>
          </w:p>
        </w:tc>
        <w:tc>
          <w:tcPr>
            <w:tcW w:w="1860" w:type="dxa"/>
            <w:tcMar>
              <w:top w:w="0" w:type="dxa"/>
              <w:bottom w:w="0" w:type="dxa"/>
            </w:tcMar>
            <w:vAlign w:val="center"/>
          </w:tcPr>
          <w:p w:rsidR="00A863F1" w:rsidRDefault="00C52735">
            <w:pPr>
              <w:keepNext/>
              <w:keepLines/>
              <w:spacing w:after="0" w:line="240" w:lineRule="auto"/>
              <w:jc w:val="right"/>
            </w:pPr>
            <w:r>
              <w:rPr>
                <w:sz w:val="18"/>
              </w:rPr>
              <w:t>351.138,61</w:t>
            </w:r>
          </w:p>
        </w:tc>
        <w:tc>
          <w:tcPr>
            <w:tcW w:w="700" w:type="dxa"/>
            <w:tcMar>
              <w:top w:w="0" w:type="dxa"/>
              <w:bottom w:w="0" w:type="dxa"/>
            </w:tcMar>
            <w:vAlign w:val="center"/>
          </w:tcPr>
          <w:p w:rsidR="00A863F1" w:rsidRDefault="00C52735">
            <w:pPr>
              <w:keepNext/>
              <w:keepLines/>
              <w:spacing w:after="0" w:line="240" w:lineRule="auto"/>
              <w:jc w:val="right"/>
            </w:pPr>
            <w:r>
              <w:rPr>
                <w:sz w:val="18"/>
              </w:rPr>
              <w:t>140,5</w:t>
            </w:r>
          </w:p>
        </w:tc>
      </w:tr>
    </w:tbl>
    <w:p w:rsidR="00A863F1" w:rsidRDefault="00A863F1">
      <w:pPr>
        <w:spacing w:after="0"/>
      </w:pPr>
    </w:p>
    <w:p w:rsidR="00A863F1" w:rsidRDefault="00C52735">
      <w:pPr>
        <w:spacing w:line="240" w:lineRule="auto"/>
        <w:jc w:val="both"/>
      </w:pPr>
      <w:r>
        <w:t xml:space="preserve">Prihodi iz nadležnog proračuna za financiranje rashoda </w:t>
      </w:r>
      <w:r>
        <w:t>poslovanja iznose 351.138,61 eura što je za 101.136,60 eura više nego u istom razdoblju prethodne godine. Do povećanja je došlo iz više razloga.  S obzirom na povećanje koeficijenta za obračun plaće  te povećanje visine osnovice za obračun plaće povećan je</w:t>
      </w:r>
      <w:r>
        <w:t xml:space="preserve"> prihod iz gradskog proračuna za plaće. Osim toga, s obzirom na to da su na vrtiću u lipnju 2024.g. započeli radovi za rekonstrukciju i dogradnju, dvije prostorije nisu u funkciji za rad s djecom te je vrtić bio primoran izmjestiti dvije skupine, kuhinju i</w:t>
      </w:r>
      <w:r>
        <w:t xml:space="preserve"> uredske prostore na 3 dodatne lokacije mimo ustanove. To je zahtijevalo dodatna financijska sredstva za opremanje  te održavanje tih prostora te dodatna zapošljavanja. Prihodi za financiranje ostalih rashoda za zaposlene su se također povećali zbog </w:t>
      </w:r>
      <w:proofErr w:type="spellStart"/>
      <w:r>
        <w:t>zbog</w:t>
      </w:r>
      <w:proofErr w:type="spellEnd"/>
      <w:r>
        <w:t xml:space="preserve"> p</w:t>
      </w:r>
      <w:r>
        <w:t>ovećanja limita za isplatu neoporezivih primitaka za isplatu materijalnih prava radnika.</w:t>
      </w:r>
    </w:p>
    <w:p w:rsidR="00A863F1" w:rsidRDefault="00A863F1"/>
    <w:p w:rsidR="00A863F1" w:rsidRDefault="00C52735">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w:t>
            </w:r>
          </w:p>
        </w:tc>
        <w:tc>
          <w:tcPr>
            <w:tcW w:w="3180" w:type="dxa"/>
            <w:tcMar>
              <w:top w:w="0" w:type="dxa"/>
              <w:bottom w:w="0" w:type="dxa"/>
            </w:tcMar>
            <w:vAlign w:val="center"/>
          </w:tcPr>
          <w:p w:rsidR="00A863F1" w:rsidRDefault="00C52735">
            <w:pPr>
              <w:keepNext/>
              <w:keepLines/>
              <w:spacing w:after="0" w:line="240" w:lineRule="auto"/>
            </w:pPr>
            <w:r>
              <w:rPr>
                <w:sz w:val="18"/>
              </w:rPr>
              <w:t>RASHODI POSLOVANJA (šifre 31+32+34+35+36+37+38)</w:t>
            </w:r>
          </w:p>
        </w:tc>
        <w:tc>
          <w:tcPr>
            <w:tcW w:w="700" w:type="dxa"/>
            <w:tcMar>
              <w:top w:w="0" w:type="dxa"/>
              <w:bottom w:w="0" w:type="dxa"/>
            </w:tcMar>
            <w:vAlign w:val="center"/>
          </w:tcPr>
          <w:p w:rsidR="00A863F1" w:rsidRDefault="00C52735">
            <w:pPr>
              <w:keepNext/>
              <w:keepLines/>
              <w:spacing w:after="0" w:line="240" w:lineRule="auto"/>
            </w:pPr>
            <w:r>
              <w:rPr>
                <w:sz w:val="18"/>
              </w:rPr>
              <w:t>3</w:t>
            </w:r>
          </w:p>
        </w:tc>
        <w:tc>
          <w:tcPr>
            <w:tcW w:w="1860" w:type="dxa"/>
            <w:tcMar>
              <w:top w:w="0" w:type="dxa"/>
              <w:bottom w:w="0" w:type="dxa"/>
            </w:tcMar>
            <w:vAlign w:val="center"/>
          </w:tcPr>
          <w:p w:rsidR="00A863F1" w:rsidRDefault="00C52735">
            <w:pPr>
              <w:keepNext/>
              <w:keepLines/>
              <w:spacing w:after="0" w:line="240" w:lineRule="auto"/>
              <w:jc w:val="right"/>
            </w:pPr>
            <w:r>
              <w:rPr>
                <w:sz w:val="18"/>
              </w:rPr>
              <w:t>362.900,31</w:t>
            </w:r>
          </w:p>
        </w:tc>
        <w:tc>
          <w:tcPr>
            <w:tcW w:w="1860" w:type="dxa"/>
            <w:tcMar>
              <w:top w:w="0" w:type="dxa"/>
              <w:bottom w:w="0" w:type="dxa"/>
            </w:tcMar>
            <w:vAlign w:val="center"/>
          </w:tcPr>
          <w:p w:rsidR="00A863F1" w:rsidRDefault="00C52735">
            <w:pPr>
              <w:keepNext/>
              <w:keepLines/>
              <w:spacing w:after="0" w:line="240" w:lineRule="auto"/>
              <w:jc w:val="right"/>
            </w:pPr>
            <w:r>
              <w:rPr>
                <w:sz w:val="18"/>
              </w:rPr>
              <w:t>512.789,13</w:t>
            </w:r>
          </w:p>
        </w:tc>
        <w:tc>
          <w:tcPr>
            <w:tcW w:w="700" w:type="dxa"/>
            <w:tcMar>
              <w:top w:w="0" w:type="dxa"/>
              <w:bottom w:w="0" w:type="dxa"/>
            </w:tcMar>
            <w:vAlign w:val="center"/>
          </w:tcPr>
          <w:p w:rsidR="00A863F1" w:rsidRDefault="00C52735">
            <w:pPr>
              <w:keepNext/>
              <w:keepLines/>
              <w:spacing w:after="0" w:line="240" w:lineRule="auto"/>
              <w:jc w:val="right"/>
            </w:pPr>
            <w:r>
              <w:rPr>
                <w:sz w:val="18"/>
              </w:rPr>
              <w:t>141,3</w:t>
            </w:r>
          </w:p>
        </w:tc>
      </w:tr>
    </w:tbl>
    <w:p w:rsidR="00A863F1" w:rsidRDefault="00A863F1">
      <w:pPr>
        <w:spacing w:after="0"/>
      </w:pPr>
    </w:p>
    <w:p w:rsidR="00A863F1" w:rsidRDefault="00C52735">
      <w:pPr>
        <w:spacing w:line="240" w:lineRule="auto"/>
        <w:jc w:val="both"/>
      </w:pPr>
      <w:r>
        <w:t xml:space="preserve">Ukupni rashodi poslovanja za razdoblje 01.01.2025. – 30.06.2025. godine iznose 512.789,13 eura.  Sastoje se od rashoda za zaposlene, materijalnih rashoda, financijskih rashoda </w:t>
      </w:r>
      <w:r>
        <w:t xml:space="preserve">i rashoda za nabavu proizvedene dugotrajne imovine, a povećali su se za 149.897,82 u odnosu na prethodno </w:t>
      </w:r>
      <w:proofErr w:type="spellStart"/>
      <w:r>
        <w:t>rzdoblje</w:t>
      </w:r>
      <w:proofErr w:type="spellEnd"/>
      <w:r>
        <w:t xml:space="preserve"> iste godine.</w:t>
      </w:r>
    </w:p>
    <w:p w:rsidR="00A863F1" w:rsidRDefault="00A863F1"/>
    <w:p w:rsidR="00A863F1" w:rsidRDefault="00C52735">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Ostvareno u izvještajnom </w:t>
            </w:r>
            <w:r>
              <w:rPr>
                <w:b/>
                <w:sz w:val="18"/>
              </w:rPr>
              <w:t>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311</w:t>
            </w:r>
          </w:p>
        </w:tc>
        <w:tc>
          <w:tcPr>
            <w:tcW w:w="3180" w:type="dxa"/>
            <w:tcMar>
              <w:top w:w="0" w:type="dxa"/>
              <w:bottom w:w="0" w:type="dxa"/>
            </w:tcMar>
            <w:vAlign w:val="center"/>
          </w:tcPr>
          <w:p w:rsidR="00A863F1" w:rsidRDefault="00C52735">
            <w:pPr>
              <w:keepNext/>
              <w:keepLines/>
              <w:spacing w:after="0" w:line="240" w:lineRule="auto"/>
            </w:pPr>
            <w:r>
              <w:rPr>
                <w:sz w:val="18"/>
              </w:rPr>
              <w:t>Plaće (bruto) (šifre 3111 do 3114)</w:t>
            </w:r>
          </w:p>
        </w:tc>
        <w:tc>
          <w:tcPr>
            <w:tcW w:w="700" w:type="dxa"/>
            <w:tcMar>
              <w:top w:w="0" w:type="dxa"/>
              <w:bottom w:w="0" w:type="dxa"/>
            </w:tcMar>
            <w:vAlign w:val="center"/>
          </w:tcPr>
          <w:p w:rsidR="00A863F1" w:rsidRDefault="00C52735">
            <w:pPr>
              <w:keepNext/>
              <w:keepLines/>
              <w:spacing w:after="0" w:line="240" w:lineRule="auto"/>
            </w:pPr>
            <w:r>
              <w:rPr>
                <w:sz w:val="18"/>
              </w:rPr>
              <w:t>311</w:t>
            </w:r>
          </w:p>
        </w:tc>
        <w:tc>
          <w:tcPr>
            <w:tcW w:w="1860" w:type="dxa"/>
            <w:tcMar>
              <w:top w:w="0" w:type="dxa"/>
              <w:bottom w:w="0" w:type="dxa"/>
            </w:tcMar>
            <w:vAlign w:val="center"/>
          </w:tcPr>
          <w:p w:rsidR="00A863F1" w:rsidRDefault="00C52735">
            <w:pPr>
              <w:keepNext/>
              <w:keepLines/>
              <w:spacing w:after="0" w:line="240" w:lineRule="auto"/>
              <w:jc w:val="right"/>
            </w:pPr>
            <w:r>
              <w:rPr>
                <w:sz w:val="18"/>
              </w:rPr>
              <w:t>246.503,71</w:t>
            </w:r>
          </w:p>
        </w:tc>
        <w:tc>
          <w:tcPr>
            <w:tcW w:w="1860" w:type="dxa"/>
            <w:tcMar>
              <w:top w:w="0" w:type="dxa"/>
              <w:bottom w:w="0" w:type="dxa"/>
            </w:tcMar>
            <w:vAlign w:val="center"/>
          </w:tcPr>
          <w:p w:rsidR="00A863F1" w:rsidRDefault="00C52735">
            <w:pPr>
              <w:keepNext/>
              <w:keepLines/>
              <w:spacing w:after="0" w:line="240" w:lineRule="auto"/>
              <w:jc w:val="right"/>
            </w:pPr>
            <w:r>
              <w:rPr>
                <w:sz w:val="18"/>
              </w:rPr>
              <w:t>364.822,37</w:t>
            </w:r>
          </w:p>
        </w:tc>
        <w:tc>
          <w:tcPr>
            <w:tcW w:w="700" w:type="dxa"/>
            <w:tcMar>
              <w:top w:w="0" w:type="dxa"/>
              <w:bottom w:w="0" w:type="dxa"/>
            </w:tcMar>
            <w:vAlign w:val="center"/>
          </w:tcPr>
          <w:p w:rsidR="00A863F1" w:rsidRDefault="00C52735">
            <w:pPr>
              <w:keepNext/>
              <w:keepLines/>
              <w:spacing w:after="0" w:line="240" w:lineRule="auto"/>
              <w:jc w:val="right"/>
            </w:pPr>
            <w:r>
              <w:rPr>
                <w:sz w:val="18"/>
              </w:rPr>
              <w:t>148,0</w:t>
            </w:r>
          </w:p>
        </w:tc>
      </w:tr>
    </w:tbl>
    <w:p w:rsidR="00A863F1" w:rsidRDefault="00A863F1">
      <w:pPr>
        <w:spacing w:after="0"/>
      </w:pPr>
    </w:p>
    <w:p w:rsidR="00A863F1" w:rsidRDefault="00C52735">
      <w:pPr>
        <w:spacing w:line="240" w:lineRule="auto"/>
        <w:jc w:val="both"/>
      </w:pPr>
      <w:r>
        <w:t xml:space="preserve">Rashodi za bruto plaće i doprinose u iznosu od  veći su u odnosu na isto razdoblje protekle godine za 118.318,66 eura zbog povećanja koeficijenta </w:t>
      </w:r>
      <w:r>
        <w:t>za obračun plaće  te povećanja visine osnovice za obračun plaće. Zbog rekonstrukcije i nadogradnje vrtića bila su potrebna dodatna zapošljavanja koja su također dovela do povećanja rashoda.</w:t>
      </w:r>
    </w:p>
    <w:p w:rsidR="00A863F1" w:rsidRDefault="00A863F1"/>
    <w:p w:rsidR="00A863F1" w:rsidRDefault="00C52735">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w:t>
            </w:r>
            <w:r>
              <w:rPr>
                <w:b/>
                <w:sz w:val="18"/>
              </w:rPr>
              <w:t>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3113</w:t>
            </w:r>
          </w:p>
        </w:tc>
        <w:tc>
          <w:tcPr>
            <w:tcW w:w="3180" w:type="dxa"/>
            <w:tcMar>
              <w:top w:w="0" w:type="dxa"/>
              <w:bottom w:w="0" w:type="dxa"/>
            </w:tcMar>
            <w:vAlign w:val="center"/>
          </w:tcPr>
          <w:p w:rsidR="00A863F1" w:rsidRDefault="00C52735">
            <w:pPr>
              <w:keepNext/>
              <w:keepLines/>
              <w:spacing w:after="0" w:line="240" w:lineRule="auto"/>
            </w:pPr>
            <w:r>
              <w:rPr>
                <w:sz w:val="18"/>
              </w:rPr>
              <w:t>Plaće za prekovremeni rad</w:t>
            </w:r>
          </w:p>
        </w:tc>
        <w:tc>
          <w:tcPr>
            <w:tcW w:w="700" w:type="dxa"/>
            <w:tcMar>
              <w:top w:w="0" w:type="dxa"/>
              <w:bottom w:w="0" w:type="dxa"/>
            </w:tcMar>
            <w:vAlign w:val="center"/>
          </w:tcPr>
          <w:p w:rsidR="00A863F1" w:rsidRDefault="00C52735">
            <w:pPr>
              <w:keepNext/>
              <w:keepLines/>
              <w:spacing w:after="0" w:line="240" w:lineRule="auto"/>
            </w:pPr>
            <w:r>
              <w:rPr>
                <w:sz w:val="18"/>
              </w:rPr>
              <w:t>3113</w:t>
            </w:r>
          </w:p>
        </w:tc>
        <w:tc>
          <w:tcPr>
            <w:tcW w:w="1860" w:type="dxa"/>
            <w:tcMar>
              <w:top w:w="0" w:type="dxa"/>
              <w:bottom w:w="0" w:type="dxa"/>
            </w:tcMar>
            <w:vAlign w:val="center"/>
          </w:tcPr>
          <w:p w:rsidR="00A863F1" w:rsidRDefault="00C52735">
            <w:pPr>
              <w:keepNext/>
              <w:keepLines/>
              <w:spacing w:after="0" w:line="240" w:lineRule="auto"/>
              <w:jc w:val="right"/>
            </w:pPr>
            <w:r>
              <w:rPr>
                <w:sz w:val="18"/>
              </w:rPr>
              <w:t>635,16</w:t>
            </w:r>
          </w:p>
        </w:tc>
        <w:tc>
          <w:tcPr>
            <w:tcW w:w="1860" w:type="dxa"/>
            <w:tcMar>
              <w:top w:w="0" w:type="dxa"/>
              <w:bottom w:w="0" w:type="dxa"/>
            </w:tcMar>
            <w:vAlign w:val="center"/>
          </w:tcPr>
          <w:p w:rsidR="00A863F1" w:rsidRDefault="00C52735">
            <w:pPr>
              <w:keepNext/>
              <w:keepLines/>
              <w:spacing w:after="0" w:line="240" w:lineRule="auto"/>
              <w:jc w:val="right"/>
            </w:pPr>
            <w:r>
              <w:rPr>
                <w:sz w:val="18"/>
              </w:rPr>
              <w:t>1.633,73</w:t>
            </w:r>
          </w:p>
        </w:tc>
        <w:tc>
          <w:tcPr>
            <w:tcW w:w="700" w:type="dxa"/>
            <w:tcMar>
              <w:top w:w="0" w:type="dxa"/>
              <w:bottom w:w="0" w:type="dxa"/>
            </w:tcMar>
            <w:vAlign w:val="center"/>
          </w:tcPr>
          <w:p w:rsidR="00A863F1" w:rsidRDefault="00C52735">
            <w:pPr>
              <w:keepNext/>
              <w:keepLines/>
              <w:spacing w:after="0" w:line="240" w:lineRule="auto"/>
              <w:jc w:val="right"/>
            </w:pPr>
            <w:r>
              <w:rPr>
                <w:sz w:val="18"/>
              </w:rPr>
              <w:t>257,2</w:t>
            </w:r>
          </w:p>
        </w:tc>
      </w:tr>
    </w:tbl>
    <w:p w:rsidR="00A863F1" w:rsidRDefault="00A863F1">
      <w:pPr>
        <w:spacing w:after="0"/>
      </w:pPr>
    </w:p>
    <w:p w:rsidR="00A863F1" w:rsidRDefault="00C52735">
      <w:pPr>
        <w:spacing w:line="240" w:lineRule="auto"/>
        <w:jc w:val="both"/>
      </w:pPr>
      <w:r>
        <w:t>Plaće za prekovremeni rad isplaćivale su se zbog bolovanja te zbog nedostatka odgojnog osoblja, a</w:t>
      </w:r>
      <w:r>
        <w:t xml:space="preserve"> iznose 1.633,73 eura, što je za 998,57 eura više nego prethodne godine.</w:t>
      </w:r>
    </w:p>
    <w:p w:rsidR="00A863F1" w:rsidRDefault="00A863F1"/>
    <w:p w:rsidR="00A863F1" w:rsidRDefault="00C52735">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312</w:t>
            </w:r>
          </w:p>
        </w:tc>
        <w:tc>
          <w:tcPr>
            <w:tcW w:w="3180" w:type="dxa"/>
            <w:tcMar>
              <w:top w:w="0" w:type="dxa"/>
              <w:bottom w:w="0" w:type="dxa"/>
            </w:tcMar>
            <w:vAlign w:val="center"/>
          </w:tcPr>
          <w:p w:rsidR="00A863F1" w:rsidRDefault="00C52735">
            <w:pPr>
              <w:keepNext/>
              <w:keepLines/>
              <w:spacing w:after="0" w:line="240" w:lineRule="auto"/>
            </w:pPr>
            <w:r>
              <w:rPr>
                <w:sz w:val="18"/>
              </w:rPr>
              <w:t>Ostali rashodi</w:t>
            </w:r>
            <w:r>
              <w:rPr>
                <w:sz w:val="18"/>
              </w:rPr>
              <w:t xml:space="preserve"> za zaposlene</w:t>
            </w:r>
          </w:p>
        </w:tc>
        <w:tc>
          <w:tcPr>
            <w:tcW w:w="700" w:type="dxa"/>
            <w:tcMar>
              <w:top w:w="0" w:type="dxa"/>
              <w:bottom w:w="0" w:type="dxa"/>
            </w:tcMar>
            <w:vAlign w:val="center"/>
          </w:tcPr>
          <w:p w:rsidR="00A863F1" w:rsidRDefault="00C52735">
            <w:pPr>
              <w:keepNext/>
              <w:keepLines/>
              <w:spacing w:after="0" w:line="240" w:lineRule="auto"/>
            </w:pPr>
            <w:r>
              <w:rPr>
                <w:sz w:val="18"/>
              </w:rPr>
              <w:t>312</w:t>
            </w:r>
          </w:p>
        </w:tc>
        <w:tc>
          <w:tcPr>
            <w:tcW w:w="1860" w:type="dxa"/>
            <w:tcMar>
              <w:top w:w="0" w:type="dxa"/>
              <w:bottom w:w="0" w:type="dxa"/>
            </w:tcMar>
            <w:vAlign w:val="center"/>
          </w:tcPr>
          <w:p w:rsidR="00A863F1" w:rsidRDefault="00C52735">
            <w:pPr>
              <w:keepNext/>
              <w:keepLines/>
              <w:spacing w:after="0" w:line="240" w:lineRule="auto"/>
              <w:jc w:val="right"/>
            </w:pPr>
            <w:r>
              <w:rPr>
                <w:sz w:val="18"/>
              </w:rPr>
              <w:t>21.536,00</w:t>
            </w:r>
          </w:p>
        </w:tc>
        <w:tc>
          <w:tcPr>
            <w:tcW w:w="1860" w:type="dxa"/>
            <w:tcMar>
              <w:top w:w="0" w:type="dxa"/>
              <w:bottom w:w="0" w:type="dxa"/>
            </w:tcMar>
            <w:vAlign w:val="center"/>
          </w:tcPr>
          <w:p w:rsidR="00A863F1" w:rsidRDefault="00C52735">
            <w:pPr>
              <w:keepNext/>
              <w:keepLines/>
              <w:spacing w:after="0" w:line="240" w:lineRule="auto"/>
              <w:jc w:val="right"/>
            </w:pPr>
            <w:r>
              <w:rPr>
                <w:sz w:val="18"/>
              </w:rPr>
              <w:t>12.925,00</w:t>
            </w:r>
          </w:p>
        </w:tc>
        <w:tc>
          <w:tcPr>
            <w:tcW w:w="700" w:type="dxa"/>
            <w:tcMar>
              <w:top w:w="0" w:type="dxa"/>
              <w:bottom w:w="0" w:type="dxa"/>
            </w:tcMar>
            <w:vAlign w:val="center"/>
          </w:tcPr>
          <w:p w:rsidR="00A863F1" w:rsidRDefault="00C52735">
            <w:pPr>
              <w:keepNext/>
              <w:keepLines/>
              <w:spacing w:after="0" w:line="240" w:lineRule="auto"/>
              <w:jc w:val="right"/>
            </w:pPr>
            <w:r>
              <w:rPr>
                <w:sz w:val="18"/>
              </w:rPr>
              <w:t>60,0</w:t>
            </w:r>
          </w:p>
        </w:tc>
      </w:tr>
    </w:tbl>
    <w:p w:rsidR="00A863F1" w:rsidRDefault="00A863F1">
      <w:pPr>
        <w:spacing w:after="0"/>
      </w:pPr>
    </w:p>
    <w:p w:rsidR="00A863F1" w:rsidRDefault="00C52735">
      <w:pPr>
        <w:spacing w:line="240" w:lineRule="auto"/>
        <w:jc w:val="both"/>
      </w:pPr>
      <w:r>
        <w:t>Ostali rashodi za zaposlene su za 8.611,00 eura manji u odnosu na prethodno razdoblje.  Odnose se na isplatu darova za djecu do 15. godine starosti, jubilarne nagrade, božićnicu, regres za godišnji odmor, smrtni</w:t>
      </w:r>
      <w:r>
        <w:t xml:space="preserve"> slučaj u obitelji,  nagrade radnicima za ostvarene rezultate </w:t>
      </w:r>
      <w:r>
        <w:lastRenderedPageBreak/>
        <w:t>rada do neoporezivog dijela, otpremnina. Razlog smanjenja u odnosu na prethodnu godinu je što su se isplaćivale manje nagrade za radne rezultate te je bilo manje jubilarnih nagrada.</w:t>
      </w:r>
    </w:p>
    <w:p w:rsidR="00A863F1" w:rsidRDefault="00A863F1"/>
    <w:p w:rsidR="00A863F1" w:rsidRDefault="00C52735">
      <w:pPr>
        <w:keepNext/>
        <w:spacing w:line="240" w:lineRule="auto"/>
        <w:jc w:val="center"/>
      </w:pPr>
      <w:r>
        <w:rPr>
          <w:sz w:val="28"/>
        </w:rPr>
        <w:t>Bilješka 15</w:t>
      </w:r>
      <w:r>
        <w:rPr>
          <w:sz w:val="28"/>
        </w:rPr>
        <w:t>.</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32</w:t>
            </w:r>
          </w:p>
        </w:tc>
        <w:tc>
          <w:tcPr>
            <w:tcW w:w="3180" w:type="dxa"/>
            <w:tcMar>
              <w:top w:w="0" w:type="dxa"/>
              <w:bottom w:w="0" w:type="dxa"/>
            </w:tcMar>
            <w:vAlign w:val="center"/>
          </w:tcPr>
          <w:p w:rsidR="00A863F1" w:rsidRDefault="00C52735">
            <w:pPr>
              <w:keepNext/>
              <w:keepLines/>
              <w:spacing w:after="0" w:line="240" w:lineRule="auto"/>
            </w:pPr>
            <w:r>
              <w:rPr>
                <w:sz w:val="18"/>
              </w:rPr>
              <w:t>Materijalni rashodi (šifre 321+322+323+324+325+329)</w:t>
            </w:r>
          </w:p>
        </w:tc>
        <w:tc>
          <w:tcPr>
            <w:tcW w:w="700" w:type="dxa"/>
            <w:tcMar>
              <w:top w:w="0" w:type="dxa"/>
              <w:bottom w:w="0" w:type="dxa"/>
            </w:tcMar>
            <w:vAlign w:val="center"/>
          </w:tcPr>
          <w:p w:rsidR="00A863F1" w:rsidRDefault="00C52735">
            <w:pPr>
              <w:keepNext/>
              <w:keepLines/>
              <w:spacing w:after="0" w:line="240" w:lineRule="auto"/>
            </w:pPr>
            <w:r>
              <w:rPr>
                <w:sz w:val="18"/>
              </w:rPr>
              <w:t>32</w:t>
            </w:r>
          </w:p>
        </w:tc>
        <w:tc>
          <w:tcPr>
            <w:tcW w:w="1860" w:type="dxa"/>
            <w:tcMar>
              <w:top w:w="0" w:type="dxa"/>
              <w:bottom w:w="0" w:type="dxa"/>
            </w:tcMar>
            <w:vAlign w:val="center"/>
          </w:tcPr>
          <w:p w:rsidR="00A863F1" w:rsidRDefault="00C52735">
            <w:pPr>
              <w:keepNext/>
              <w:keepLines/>
              <w:spacing w:after="0" w:line="240" w:lineRule="auto"/>
              <w:jc w:val="right"/>
            </w:pPr>
            <w:r>
              <w:rPr>
                <w:sz w:val="18"/>
              </w:rPr>
              <w:t>55.524,34</w:t>
            </w:r>
          </w:p>
        </w:tc>
        <w:tc>
          <w:tcPr>
            <w:tcW w:w="1860" w:type="dxa"/>
            <w:tcMar>
              <w:top w:w="0" w:type="dxa"/>
              <w:bottom w:w="0" w:type="dxa"/>
            </w:tcMar>
            <w:vAlign w:val="center"/>
          </w:tcPr>
          <w:p w:rsidR="00A863F1" w:rsidRDefault="00C52735">
            <w:pPr>
              <w:keepNext/>
              <w:keepLines/>
              <w:spacing w:after="0" w:line="240" w:lineRule="auto"/>
              <w:jc w:val="right"/>
            </w:pPr>
            <w:r>
              <w:rPr>
                <w:sz w:val="18"/>
              </w:rPr>
              <w:t>76.596,97</w:t>
            </w:r>
          </w:p>
        </w:tc>
        <w:tc>
          <w:tcPr>
            <w:tcW w:w="700" w:type="dxa"/>
            <w:tcMar>
              <w:top w:w="0" w:type="dxa"/>
              <w:bottom w:w="0" w:type="dxa"/>
            </w:tcMar>
            <w:vAlign w:val="center"/>
          </w:tcPr>
          <w:p w:rsidR="00A863F1" w:rsidRDefault="00C52735">
            <w:pPr>
              <w:keepNext/>
              <w:keepLines/>
              <w:spacing w:after="0" w:line="240" w:lineRule="auto"/>
              <w:jc w:val="right"/>
            </w:pPr>
            <w:r>
              <w:rPr>
                <w:sz w:val="18"/>
              </w:rPr>
              <w:t>138,0</w:t>
            </w:r>
          </w:p>
        </w:tc>
      </w:tr>
    </w:tbl>
    <w:p w:rsidR="00A863F1" w:rsidRDefault="00A863F1">
      <w:pPr>
        <w:spacing w:after="0"/>
      </w:pPr>
    </w:p>
    <w:p w:rsidR="00A863F1" w:rsidRDefault="00C52735">
      <w:pPr>
        <w:spacing w:line="240" w:lineRule="auto"/>
        <w:jc w:val="both"/>
      </w:pPr>
      <w:r>
        <w:t xml:space="preserve">Rashodi za </w:t>
      </w:r>
      <w:r>
        <w:t>materijalne troškove iznose 76.596,97 eura, što je za 21.072,63 eura više u odnosu na isto razdoblje prethodne godine.</w:t>
      </w:r>
    </w:p>
    <w:p w:rsidR="00A863F1" w:rsidRDefault="00A863F1"/>
    <w:p w:rsidR="00A863F1" w:rsidRDefault="00C52735">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w:t>
            </w:r>
            <w:r>
              <w:rPr>
                <w:b/>
                <w:sz w:val="18"/>
              </w:rPr>
              <w:t>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3223</w:t>
            </w:r>
          </w:p>
        </w:tc>
        <w:tc>
          <w:tcPr>
            <w:tcW w:w="3180" w:type="dxa"/>
            <w:tcMar>
              <w:top w:w="0" w:type="dxa"/>
              <w:bottom w:w="0" w:type="dxa"/>
            </w:tcMar>
            <w:vAlign w:val="center"/>
          </w:tcPr>
          <w:p w:rsidR="00A863F1" w:rsidRDefault="00C52735">
            <w:pPr>
              <w:keepNext/>
              <w:keepLines/>
              <w:spacing w:after="0" w:line="240" w:lineRule="auto"/>
            </w:pPr>
            <w:r>
              <w:rPr>
                <w:sz w:val="18"/>
              </w:rPr>
              <w:t>Energija</w:t>
            </w:r>
          </w:p>
        </w:tc>
        <w:tc>
          <w:tcPr>
            <w:tcW w:w="700" w:type="dxa"/>
            <w:tcMar>
              <w:top w:w="0" w:type="dxa"/>
              <w:bottom w:w="0" w:type="dxa"/>
            </w:tcMar>
            <w:vAlign w:val="center"/>
          </w:tcPr>
          <w:p w:rsidR="00A863F1" w:rsidRDefault="00C52735">
            <w:pPr>
              <w:keepNext/>
              <w:keepLines/>
              <w:spacing w:after="0" w:line="240" w:lineRule="auto"/>
            </w:pPr>
            <w:r>
              <w:rPr>
                <w:sz w:val="18"/>
              </w:rPr>
              <w:t>3223</w:t>
            </w:r>
          </w:p>
        </w:tc>
        <w:tc>
          <w:tcPr>
            <w:tcW w:w="1860" w:type="dxa"/>
            <w:tcMar>
              <w:top w:w="0" w:type="dxa"/>
              <w:bottom w:w="0" w:type="dxa"/>
            </w:tcMar>
            <w:vAlign w:val="center"/>
          </w:tcPr>
          <w:p w:rsidR="00A863F1" w:rsidRDefault="00C52735">
            <w:pPr>
              <w:keepNext/>
              <w:keepLines/>
              <w:spacing w:after="0" w:line="240" w:lineRule="auto"/>
              <w:jc w:val="right"/>
            </w:pPr>
            <w:r>
              <w:rPr>
                <w:sz w:val="18"/>
              </w:rPr>
              <w:t>3.714,68</w:t>
            </w:r>
          </w:p>
        </w:tc>
        <w:tc>
          <w:tcPr>
            <w:tcW w:w="1860" w:type="dxa"/>
            <w:tcMar>
              <w:top w:w="0" w:type="dxa"/>
              <w:bottom w:w="0" w:type="dxa"/>
            </w:tcMar>
            <w:vAlign w:val="center"/>
          </w:tcPr>
          <w:p w:rsidR="00A863F1" w:rsidRDefault="00C52735">
            <w:pPr>
              <w:keepNext/>
              <w:keepLines/>
              <w:spacing w:after="0" w:line="240" w:lineRule="auto"/>
              <w:jc w:val="right"/>
            </w:pPr>
            <w:r>
              <w:rPr>
                <w:sz w:val="18"/>
              </w:rPr>
              <w:t>7.288,65</w:t>
            </w:r>
          </w:p>
        </w:tc>
        <w:tc>
          <w:tcPr>
            <w:tcW w:w="700" w:type="dxa"/>
            <w:tcMar>
              <w:top w:w="0" w:type="dxa"/>
              <w:bottom w:w="0" w:type="dxa"/>
            </w:tcMar>
            <w:vAlign w:val="center"/>
          </w:tcPr>
          <w:p w:rsidR="00A863F1" w:rsidRDefault="00C52735">
            <w:pPr>
              <w:keepNext/>
              <w:keepLines/>
              <w:spacing w:after="0" w:line="240" w:lineRule="auto"/>
              <w:jc w:val="right"/>
            </w:pPr>
            <w:r>
              <w:rPr>
                <w:sz w:val="18"/>
              </w:rPr>
              <w:t>196,2</w:t>
            </w:r>
          </w:p>
        </w:tc>
      </w:tr>
    </w:tbl>
    <w:p w:rsidR="00A863F1" w:rsidRDefault="00A863F1">
      <w:pPr>
        <w:spacing w:after="0"/>
      </w:pPr>
    </w:p>
    <w:p w:rsidR="00A863F1" w:rsidRDefault="00C52735">
      <w:pPr>
        <w:spacing w:line="240" w:lineRule="auto"/>
        <w:jc w:val="both"/>
      </w:pPr>
      <w:r>
        <w:t xml:space="preserve">Zbog </w:t>
      </w:r>
      <w:proofErr w:type="spellStart"/>
      <w:r>
        <w:t>izmještenja</w:t>
      </w:r>
      <w:proofErr w:type="spellEnd"/>
      <w:r>
        <w:t xml:space="preserve"> skupina, kuhinje i uredskih prostora na druge lokacije uslijed rekonstrukcije i nadogradnje vrtića došlo je do povećanja režijskih troškova za električnu energiju i </w:t>
      </w:r>
      <w:r>
        <w:t>plin.</w:t>
      </w:r>
    </w:p>
    <w:p w:rsidR="00A863F1" w:rsidRDefault="00A863F1"/>
    <w:p w:rsidR="00A863F1" w:rsidRDefault="00C52735">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323</w:t>
            </w:r>
          </w:p>
        </w:tc>
        <w:tc>
          <w:tcPr>
            <w:tcW w:w="3180" w:type="dxa"/>
            <w:tcMar>
              <w:top w:w="0" w:type="dxa"/>
              <w:bottom w:w="0" w:type="dxa"/>
            </w:tcMar>
            <w:vAlign w:val="center"/>
          </w:tcPr>
          <w:p w:rsidR="00A863F1" w:rsidRDefault="00C52735">
            <w:pPr>
              <w:keepNext/>
              <w:keepLines/>
              <w:spacing w:after="0" w:line="240" w:lineRule="auto"/>
            </w:pPr>
            <w:r>
              <w:rPr>
                <w:sz w:val="18"/>
              </w:rPr>
              <w:t>Rashodi za usluge (šifre 3231 do 3239)</w:t>
            </w:r>
          </w:p>
        </w:tc>
        <w:tc>
          <w:tcPr>
            <w:tcW w:w="700" w:type="dxa"/>
            <w:tcMar>
              <w:top w:w="0" w:type="dxa"/>
              <w:bottom w:w="0" w:type="dxa"/>
            </w:tcMar>
            <w:vAlign w:val="center"/>
          </w:tcPr>
          <w:p w:rsidR="00A863F1" w:rsidRDefault="00C52735">
            <w:pPr>
              <w:keepNext/>
              <w:keepLines/>
              <w:spacing w:after="0" w:line="240" w:lineRule="auto"/>
            </w:pPr>
            <w:r>
              <w:rPr>
                <w:sz w:val="18"/>
              </w:rPr>
              <w:t>323</w:t>
            </w:r>
          </w:p>
        </w:tc>
        <w:tc>
          <w:tcPr>
            <w:tcW w:w="1860" w:type="dxa"/>
            <w:tcMar>
              <w:top w:w="0" w:type="dxa"/>
              <w:bottom w:w="0" w:type="dxa"/>
            </w:tcMar>
            <w:vAlign w:val="center"/>
          </w:tcPr>
          <w:p w:rsidR="00A863F1" w:rsidRDefault="00C52735">
            <w:pPr>
              <w:keepNext/>
              <w:keepLines/>
              <w:spacing w:after="0" w:line="240" w:lineRule="auto"/>
              <w:jc w:val="right"/>
            </w:pPr>
            <w:r>
              <w:rPr>
                <w:sz w:val="18"/>
              </w:rPr>
              <w:t>8.763,19</w:t>
            </w:r>
          </w:p>
        </w:tc>
        <w:tc>
          <w:tcPr>
            <w:tcW w:w="1860" w:type="dxa"/>
            <w:tcMar>
              <w:top w:w="0" w:type="dxa"/>
              <w:bottom w:w="0" w:type="dxa"/>
            </w:tcMar>
            <w:vAlign w:val="center"/>
          </w:tcPr>
          <w:p w:rsidR="00A863F1" w:rsidRDefault="00C52735">
            <w:pPr>
              <w:keepNext/>
              <w:keepLines/>
              <w:spacing w:after="0" w:line="240" w:lineRule="auto"/>
              <w:jc w:val="right"/>
            </w:pPr>
            <w:r>
              <w:rPr>
                <w:sz w:val="18"/>
              </w:rPr>
              <w:t>17.542,40</w:t>
            </w:r>
          </w:p>
        </w:tc>
        <w:tc>
          <w:tcPr>
            <w:tcW w:w="700" w:type="dxa"/>
            <w:tcMar>
              <w:top w:w="0" w:type="dxa"/>
              <w:bottom w:w="0" w:type="dxa"/>
            </w:tcMar>
            <w:vAlign w:val="center"/>
          </w:tcPr>
          <w:p w:rsidR="00A863F1" w:rsidRDefault="00C52735">
            <w:pPr>
              <w:keepNext/>
              <w:keepLines/>
              <w:spacing w:after="0" w:line="240" w:lineRule="auto"/>
              <w:jc w:val="right"/>
            </w:pPr>
            <w:r>
              <w:rPr>
                <w:sz w:val="18"/>
              </w:rPr>
              <w:t>200,2</w:t>
            </w:r>
          </w:p>
        </w:tc>
      </w:tr>
    </w:tbl>
    <w:p w:rsidR="00A863F1" w:rsidRDefault="00A863F1">
      <w:pPr>
        <w:spacing w:after="0"/>
      </w:pPr>
    </w:p>
    <w:p w:rsidR="00A863F1" w:rsidRDefault="00C52735">
      <w:pPr>
        <w:spacing w:line="240" w:lineRule="auto"/>
        <w:jc w:val="both"/>
      </w:pPr>
      <w:r>
        <w:t xml:space="preserve">U </w:t>
      </w:r>
      <w:r>
        <w:t>podskupini je 323 došlo do povećanja rashoda za 8.779,21 eura. Do najvećeg povećanja je došlo na odjeljku 3232 Usluge tekućeg i investicijskog održavanja jer je bilo potrebno srušiti dotrajalu i izgraditi novu sjenicu iznad pješčanika na dvorištu. Osim tog</w:t>
      </w:r>
      <w:r>
        <w:t xml:space="preserve">a izrađen je, pored sjenice, i </w:t>
      </w:r>
      <w:proofErr w:type="spellStart"/>
      <w:r>
        <w:t>podest</w:t>
      </w:r>
      <w:proofErr w:type="spellEnd"/>
      <w:r>
        <w:t xml:space="preserve"> za igru od metalna rama i </w:t>
      </w:r>
      <w:proofErr w:type="spellStart"/>
      <w:r>
        <w:t>pvc</w:t>
      </w:r>
      <w:proofErr w:type="spellEnd"/>
      <w:r>
        <w:t xml:space="preserve"> </w:t>
      </w:r>
      <w:proofErr w:type="spellStart"/>
      <w:r>
        <w:t>decking</w:t>
      </w:r>
      <w:proofErr w:type="spellEnd"/>
      <w:r>
        <w:t xml:space="preserve"> pod i klupe -sjedalice od jelovine. Uz radove na sjenici izmijenjeni su i dotrajali-truli dijelovi penjalice "brod" i time je djeci omogućena sigurnija igru.</w:t>
      </w:r>
    </w:p>
    <w:p w:rsidR="00A863F1" w:rsidRDefault="00A863F1"/>
    <w:p w:rsidR="00A863F1" w:rsidRDefault="00C52735">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Račun iz</w:t>
            </w:r>
            <w:r>
              <w:rPr>
                <w:b/>
                <w:sz w:val="18"/>
              </w:rPr>
              <w:t xml:space="preserve">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3232</w:t>
            </w:r>
          </w:p>
        </w:tc>
        <w:tc>
          <w:tcPr>
            <w:tcW w:w="3180" w:type="dxa"/>
            <w:tcMar>
              <w:top w:w="0" w:type="dxa"/>
              <w:bottom w:w="0" w:type="dxa"/>
            </w:tcMar>
            <w:vAlign w:val="center"/>
          </w:tcPr>
          <w:p w:rsidR="00A863F1" w:rsidRDefault="00C52735">
            <w:pPr>
              <w:keepNext/>
              <w:keepLines/>
              <w:spacing w:after="0" w:line="240" w:lineRule="auto"/>
            </w:pPr>
            <w:r>
              <w:rPr>
                <w:sz w:val="18"/>
              </w:rPr>
              <w:t>Usluge tekućeg i investicijskog održavanja</w:t>
            </w:r>
          </w:p>
        </w:tc>
        <w:tc>
          <w:tcPr>
            <w:tcW w:w="700" w:type="dxa"/>
            <w:tcMar>
              <w:top w:w="0" w:type="dxa"/>
              <w:bottom w:w="0" w:type="dxa"/>
            </w:tcMar>
            <w:vAlign w:val="center"/>
          </w:tcPr>
          <w:p w:rsidR="00A863F1" w:rsidRDefault="00C52735">
            <w:pPr>
              <w:keepNext/>
              <w:keepLines/>
              <w:spacing w:after="0" w:line="240" w:lineRule="auto"/>
            </w:pPr>
            <w:r>
              <w:rPr>
                <w:sz w:val="18"/>
              </w:rPr>
              <w:t>3232</w:t>
            </w:r>
          </w:p>
        </w:tc>
        <w:tc>
          <w:tcPr>
            <w:tcW w:w="1860" w:type="dxa"/>
            <w:tcMar>
              <w:top w:w="0" w:type="dxa"/>
              <w:bottom w:w="0" w:type="dxa"/>
            </w:tcMar>
            <w:vAlign w:val="center"/>
          </w:tcPr>
          <w:p w:rsidR="00A863F1" w:rsidRDefault="00C52735">
            <w:pPr>
              <w:keepNext/>
              <w:keepLines/>
              <w:spacing w:after="0" w:line="240" w:lineRule="auto"/>
              <w:jc w:val="right"/>
            </w:pPr>
            <w:r>
              <w:rPr>
                <w:sz w:val="18"/>
              </w:rPr>
              <w:t>1.506,54</w:t>
            </w:r>
          </w:p>
        </w:tc>
        <w:tc>
          <w:tcPr>
            <w:tcW w:w="1860" w:type="dxa"/>
            <w:tcMar>
              <w:top w:w="0" w:type="dxa"/>
              <w:bottom w:w="0" w:type="dxa"/>
            </w:tcMar>
            <w:vAlign w:val="center"/>
          </w:tcPr>
          <w:p w:rsidR="00A863F1" w:rsidRDefault="00C52735">
            <w:pPr>
              <w:keepNext/>
              <w:keepLines/>
              <w:spacing w:after="0" w:line="240" w:lineRule="auto"/>
              <w:jc w:val="right"/>
            </w:pPr>
            <w:r>
              <w:rPr>
                <w:sz w:val="18"/>
              </w:rPr>
              <w:t>11.605,66</w:t>
            </w:r>
          </w:p>
        </w:tc>
        <w:tc>
          <w:tcPr>
            <w:tcW w:w="700" w:type="dxa"/>
            <w:tcMar>
              <w:top w:w="0" w:type="dxa"/>
              <w:bottom w:w="0" w:type="dxa"/>
            </w:tcMar>
            <w:vAlign w:val="center"/>
          </w:tcPr>
          <w:p w:rsidR="00A863F1" w:rsidRDefault="00C52735">
            <w:pPr>
              <w:keepNext/>
              <w:keepLines/>
              <w:spacing w:after="0" w:line="240" w:lineRule="auto"/>
              <w:jc w:val="right"/>
            </w:pPr>
            <w:r>
              <w:rPr>
                <w:sz w:val="18"/>
              </w:rPr>
              <w:t>770,4</w:t>
            </w:r>
          </w:p>
        </w:tc>
      </w:tr>
    </w:tbl>
    <w:p w:rsidR="00A863F1" w:rsidRDefault="00A863F1">
      <w:pPr>
        <w:spacing w:after="0"/>
      </w:pPr>
    </w:p>
    <w:p w:rsidR="00A863F1" w:rsidRDefault="00C52735">
      <w:pPr>
        <w:spacing w:line="240" w:lineRule="auto"/>
        <w:jc w:val="both"/>
      </w:pPr>
      <w:r>
        <w:lastRenderedPageBreak/>
        <w:t xml:space="preserve">Povećanje rashoda u iznosu od </w:t>
      </w:r>
      <w:r>
        <w:t>10.099,12 se odnosi na građevinske usluge rekonstrukcije sjenice i drvenog broda na dvorištu vrtića.</w:t>
      </w:r>
    </w:p>
    <w:p w:rsidR="00A863F1" w:rsidRDefault="00A863F1"/>
    <w:p w:rsidR="00A863F1" w:rsidRDefault="00C52735">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w:t>
            </w:r>
            <w:r>
              <w:rPr>
                <w:b/>
                <w:sz w:val="18"/>
              </w:rPr>
              <w:t>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C52735">
            <w:pPr>
              <w:keepNext/>
              <w:keepLines/>
              <w:spacing w:after="0" w:line="240" w:lineRule="auto"/>
            </w:pPr>
            <w:r>
              <w:rPr>
                <w:sz w:val="18"/>
              </w:rPr>
              <w:t>4</w:t>
            </w:r>
          </w:p>
        </w:tc>
        <w:tc>
          <w:tcPr>
            <w:tcW w:w="3180" w:type="dxa"/>
            <w:tcMar>
              <w:top w:w="0" w:type="dxa"/>
              <w:bottom w:w="0" w:type="dxa"/>
            </w:tcMar>
            <w:vAlign w:val="center"/>
          </w:tcPr>
          <w:p w:rsidR="00A863F1" w:rsidRDefault="00C52735">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A863F1" w:rsidRDefault="00C52735">
            <w:pPr>
              <w:keepNext/>
              <w:keepLines/>
              <w:spacing w:after="0" w:line="240" w:lineRule="auto"/>
            </w:pPr>
            <w:r>
              <w:rPr>
                <w:sz w:val="18"/>
              </w:rPr>
              <w:t>4</w:t>
            </w:r>
          </w:p>
        </w:tc>
        <w:tc>
          <w:tcPr>
            <w:tcW w:w="1860" w:type="dxa"/>
            <w:tcMar>
              <w:top w:w="0" w:type="dxa"/>
              <w:bottom w:w="0" w:type="dxa"/>
            </w:tcMar>
            <w:vAlign w:val="center"/>
          </w:tcPr>
          <w:p w:rsidR="00A863F1" w:rsidRDefault="00C52735">
            <w:pPr>
              <w:keepNext/>
              <w:keepLines/>
              <w:spacing w:after="0" w:line="240" w:lineRule="auto"/>
              <w:jc w:val="right"/>
            </w:pPr>
            <w:r>
              <w:rPr>
                <w:sz w:val="18"/>
              </w:rPr>
              <w:t>1.527,45</w:t>
            </w:r>
          </w:p>
        </w:tc>
        <w:tc>
          <w:tcPr>
            <w:tcW w:w="1860" w:type="dxa"/>
            <w:tcMar>
              <w:top w:w="0" w:type="dxa"/>
              <w:bottom w:w="0" w:type="dxa"/>
            </w:tcMar>
            <w:vAlign w:val="center"/>
          </w:tcPr>
          <w:p w:rsidR="00A863F1" w:rsidRDefault="00C52735">
            <w:pPr>
              <w:keepNext/>
              <w:keepLines/>
              <w:spacing w:after="0" w:line="240" w:lineRule="auto"/>
              <w:jc w:val="right"/>
            </w:pPr>
            <w:r>
              <w:rPr>
                <w:sz w:val="18"/>
              </w:rPr>
              <w:t>736,23</w:t>
            </w:r>
          </w:p>
        </w:tc>
        <w:tc>
          <w:tcPr>
            <w:tcW w:w="700" w:type="dxa"/>
            <w:tcMar>
              <w:top w:w="0" w:type="dxa"/>
              <w:bottom w:w="0" w:type="dxa"/>
            </w:tcMar>
            <w:vAlign w:val="center"/>
          </w:tcPr>
          <w:p w:rsidR="00A863F1" w:rsidRDefault="00C52735">
            <w:pPr>
              <w:keepNext/>
              <w:keepLines/>
              <w:spacing w:after="0" w:line="240" w:lineRule="auto"/>
              <w:jc w:val="right"/>
            </w:pPr>
            <w:r>
              <w:rPr>
                <w:sz w:val="18"/>
              </w:rPr>
              <w:t>48,2</w:t>
            </w:r>
          </w:p>
        </w:tc>
      </w:tr>
    </w:tbl>
    <w:p w:rsidR="00A863F1" w:rsidRDefault="00A863F1">
      <w:pPr>
        <w:spacing w:after="0"/>
      </w:pPr>
    </w:p>
    <w:p w:rsidR="00A863F1" w:rsidRDefault="00C52735">
      <w:pPr>
        <w:spacing w:line="240" w:lineRule="auto"/>
        <w:jc w:val="both"/>
      </w:pPr>
      <w:r>
        <w:t xml:space="preserve">Rashodi za nabavu proizvedene dugotrajne  imovine ostvareni su u iznosu od 736,23 eura što je manje za 791,22 eura u odnosu na prethodnu godinu jer se </w:t>
      </w:r>
      <w:r>
        <w:t>nabavljalo manje namještaja i opreme u odnosu na isto razdoblje prethodne godine.</w:t>
      </w:r>
    </w:p>
    <w:p w:rsidR="00A863F1" w:rsidRDefault="00A863F1"/>
    <w:p w:rsidR="00A863F1" w:rsidRDefault="00C52735">
      <w:pPr>
        <w:keepNext/>
        <w:spacing w:line="240" w:lineRule="auto"/>
        <w:jc w:val="center"/>
      </w:pPr>
      <w:r>
        <w:rPr>
          <w:b/>
          <w:sz w:val="28"/>
        </w:rPr>
        <w:t>Izvještaj o obvezama</w:t>
      </w:r>
    </w:p>
    <w:p w:rsidR="00A863F1" w:rsidRDefault="00C52735">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sz w:val="18"/>
              </w:rPr>
              <w:t xml:space="preserve">Stanje dospjelih obveza na kraju izvještajnog razdoblja (šifre V008+D23+D24 + 'D </w:t>
            </w:r>
            <w:r>
              <w:rPr>
                <w:sz w:val="18"/>
              </w:rPr>
              <w:t>dio 25,26' + D27)</w:t>
            </w:r>
          </w:p>
        </w:tc>
        <w:tc>
          <w:tcPr>
            <w:tcW w:w="700" w:type="dxa"/>
            <w:tcMar>
              <w:top w:w="0" w:type="dxa"/>
              <w:bottom w:w="0" w:type="dxa"/>
            </w:tcMar>
            <w:vAlign w:val="center"/>
          </w:tcPr>
          <w:p w:rsidR="00A863F1" w:rsidRDefault="00C52735">
            <w:pPr>
              <w:keepNext/>
              <w:keepLines/>
              <w:spacing w:after="0" w:line="240" w:lineRule="auto"/>
            </w:pPr>
            <w:r>
              <w:rPr>
                <w:sz w:val="18"/>
              </w:rPr>
              <w:t>V007</w:t>
            </w:r>
          </w:p>
        </w:tc>
        <w:tc>
          <w:tcPr>
            <w:tcW w:w="1860" w:type="dxa"/>
            <w:tcMar>
              <w:top w:w="0" w:type="dxa"/>
              <w:bottom w:w="0" w:type="dxa"/>
            </w:tcMar>
            <w:vAlign w:val="center"/>
          </w:tcPr>
          <w:p w:rsidR="00A863F1" w:rsidRDefault="00C52735">
            <w:pPr>
              <w:keepNext/>
              <w:keepLines/>
              <w:spacing w:after="0" w:line="240" w:lineRule="auto"/>
              <w:jc w:val="right"/>
            </w:pPr>
            <w:r>
              <w:rPr>
                <w:sz w:val="18"/>
              </w:rPr>
              <w:t>1.048,03</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bl>
    <w:p w:rsidR="00A863F1" w:rsidRDefault="00A863F1">
      <w:pPr>
        <w:spacing w:after="0"/>
      </w:pPr>
    </w:p>
    <w:p w:rsidR="00A863F1" w:rsidRDefault="00C52735">
      <w:pPr>
        <w:spacing w:line="240" w:lineRule="auto"/>
        <w:jc w:val="both"/>
      </w:pPr>
      <w:r>
        <w:t xml:space="preserve">Stanje dospjelih obveza na kraju izvještajnog razdoblja iznosi 1.048,43 eura. Do prekoračenja je došlo zbog greškom neplaćena dva računa iz 2024. godine, nekoliko računa koji su podmireni nakon datuma valute odnosno </w:t>
      </w:r>
      <w:r>
        <w:t>podmireni su s 30.06. a po izvodima su isplate evidentirane s 01.07.</w:t>
      </w:r>
    </w:p>
    <w:p w:rsidR="00A863F1" w:rsidRDefault="00A863F1"/>
    <w:p w:rsidR="00A863F1" w:rsidRDefault="00C52735">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sz w:val="18"/>
              </w:rPr>
              <w:t>a) Prekoračenje 1 do 60 dana</w:t>
            </w:r>
          </w:p>
        </w:tc>
        <w:tc>
          <w:tcPr>
            <w:tcW w:w="700" w:type="dxa"/>
            <w:tcMar>
              <w:top w:w="0" w:type="dxa"/>
              <w:bottom w:w="0" w:type="dxa"/>
            </w:tcMar>
            <w:vAlign w:val="center"/>
          </w:tcPr>
          <w:p w:rsidR="00A863F1" w:rsidRDefault="00C52735">
            <w:pPr>
              <w:keepNext/>
              <w:keepLines/>
              <w:spacing w:after="0" w:line="240" w:lineRule="auto"/>
            </w:pPr>
            <w:r>
              <w:rPr>
                <w:sz w:val="18"/>
              </w:rPr>
              <w:t>D232A</w:t>
            </w:r>
          </w:p>
        </w:tc>
        <w:tc>
          <w:tcPr>
            <w:tcW w:w="1860" w:type="dxa"/>
            <w:tcMar>
              <w:top w:w="0" w:type="dxa"/>
              <w:bottom w:w="0" w:type="dxa"/>
            </w:tcMar>
            <w:vAlign w:val="center"/>
          </w:tcPr>
          <w:p w:rsidR="00A863F1" w:rsidRDefault="00C52735">
            <w:pPr>
              <w:keepNext/>
              <w:keepLines/>
              <w:spacing w:after="0" w:line="240" w:lineRule="auto"/>
              <w:jc w:val="right"/>
            </w:pPr>
            <w:r>
              <w:rPr>
                <w:sz w:val="18"/>
              </w:rPr>
              <w:t>626,03</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bl>
    <w:p w:rsidR="00A863F1" w:rsidRDefault="00A863F1">
      <w:pPr>
        <w:spacing w:after="0"/>
      </w:pPr>
    </w:p>
    <w:p w:rsidR="00A863F1" w:rsidRDefault="00C52735">
      <w:pPr>
        <w:spacing w:line="240" w:lineRule="auto"/>
        <w:jc w:val="both"/>
      </w:pPr>
      <w:r>
        <w:t xml:space="preserve">Nekoliko računa nije podmireno do datuma valute, odnosno podmireni su </w:t>
      </w:r>
      <w:r>
        <w:t>s 30.6.2025., a na izvodu je plaćanje evidentirano 01.07.2025.</w:t>
      </w:r>
    </w:p>
    <w:p w:rsidR="00A863F1" w:rsidRDefault="00A863F1"/>
    <w:p w:rsidR="00A863F1" w:rsidRDefault="00C52735">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sz w:val="18"/>
              </w:rPr>
              <w:t>b) Prekoračenje 61 do 180 dana</w:t>
            </w:r>
          </w:p>
        </w:tc>
        <w:tc>
          <w:tcPr>
            <w:tcW w:w="700" w:type="dxa"/>
            <w:tcMar>
              <w:top w:w="0" w:type="dxa"/>
              <w:bottom w:w="0" w:type="dxa"/>
            </w:tcMar>
            <w:vAlign w:val="center"/>
          </w:tcPr>
          <w:p w:rsidR="00A863F1" w:rsidRDefault="00C52735">
            <w:pPr>
              <w:keepNext/>
              <w:keepLines/>
              <w:spacing w:after="0" w:line="240" w:lineRule="auto"/>
            </w:pPr>
            <w:r>
              <w:rPr>
                <w:sz w:val="18"/>
              </w:rPr>
              <w:t>D232B</w:t>
            </w:r>
          </w:p>
        </w:tc>
        <w:tc>
          <w:tcPr>
            <w:tcW w:w="1860" w:type="dxa"/>
            <w:tcMar>
              <w:top w:w="0" w:type="dxa"/>
              <w:bottom w:w="0" w:type="dxa"/>
            </w:tcMar>
            <w:vAlign w:val="center"/>
          </w:tcPr>
          <w:p w:rsidR="00A863F1" w:rsidRDefault="00C52735">
            <w:pPr>
              <w:keepNext/>
              <w:keepLines/>
              <w:spacing w:after="0" w:line="240" w:lineRule="auto"/>
              <w:jc w:val="right"/>
            </w:pPr>
            <w:r>
              <w:rPr>
                <w:sz w:val="18"/>
              </w:rPr>
              <w:t>25,09</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bl>
    <w:p w:rsidR="00A863F1" w:rsidRDefault="00A863F1">
      <w:pPr>
        <w:spacing w:after="0"/>
      </w:pPr>
    </w:p>
    <w:p w:rsidR="00A863F1" w:rsidRDefault="00C52735">
      <w:pPr>
        <w:spacing w:line="240" w:lineRule="auto"/>
        <w:jc w:val="both"/>
      </w:pPr>
      <w:r>
        <w:t>Greškom nepodmiren račun koji je podmiren u prvim tjednima srpnja.</w:t>
      </w:r>
    </w:p>
    <w:p w:rsidR="00A863F1" w:rsidRDefault="00A863F1"/>
    <w:p w:rsidR="00A863F1" w:rsidRDefault="00C52735">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sz w:val="18"/>
              </w:rPr>
              <w:t>c) Prekoračenje 181 do 360 dana</w:t>
            </w:r>
          </w:p>
        </w:tc>
        <w:tc>
          <w:tcPr>
            <w:tcW w:w="700" w:type="dxa"/>
            <w:tcMar>
              <w:top w:w="0" w:type="dxa"/>
              <w:bottom w:w="0" w:type="dxa"/>
            </w:tcMar>
            <w:vAlign w:val="center"/>
          </w:tcPr>
          <w:p w:rsidR="00A863F1" w:rsidRDefault="00C52735">
            <w:pPr>
              <w:keepNext/>
              <w:keepLines/>
              <w:spacing w:after="0" w:line="240" w:lineRule="auto"/>
            </w:pPr>
            <w:r>
              <w:rPr>
                <w:sz w:val="18"/>
              </w:rPr>
              <w:t>D232C</w:t>
            </w:r>
          </w:p>
        </w:tc>
        <w:tc>
          <w:tcPr>
            <w:tcW w:w="1860" w:type="dxa"/>
            <w:tcMar>
              <w:top w:w="0" w:type="dxa"/>
              <w:bottom w:w="0" w:type="dxa"/>
            </w:tcMar>
            <w:vAlign w:val="center"/>
          </w:tcPr>
          <w:p w:rsidR="00A863F1" w:rsidRDefault="00C52735">
            <w:pPr>
              <w:keepNext/>
              <w:keepLines/>
              <w:spacing w:after="0" w:line="240" w:lineRule="auto"/>
              <w:jc w:val="right"/>
            </w:pPr>
            <w:r>
              <w:rPr>
                <w:sz w:val="18"/>
              </w:rPr>
              <w:t>396,91</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bl>
    <w:p w:rsidR="00A863F1" w:rsidRDefault="00A863F1">
      <w:pPr>
        <w:spacing w:after="0"/>
      </w:pPr>
    </w:p>
    <w:p w:rsidR="00A863F1" w:rsidRDefault="00C52735">
      <w:pPr>
        <w:spacing w:line="240" w:lineRule="auto"/>
        <w:jc w:val="both"/>
      </w:pPr>
      <w:r>
        <w:t>Greškom nepodmireni račun koji s podmireni u prvim tjednima srpnja.</w:t>
      </w:r>
    </w:p>
    <w:p w:rsidR="00A863F1" w:rsidRDefault="00A863F1"/>
    <w:p w:rsidR="00A863F1" w:rsidRDefault="00C52735">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863F1">
        <w:tblPrEx>
          <w:tblCellMar>
            <w:top w:w="0" w:type="dxa"/>
            <w:bottom w:w="0" w:type="dxa"/>
          </w:tblCellMar>
        </w:tblPrEx>
        <w:trPr>
          <w:cantSplit/>
        </w:trPr>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A863F1" w:rsidRDefault="00C52735">
            <w:pPr>
              <w:keepNext/>
              <w:keepLines/>
              <w:spacing w:after="0" w:line="240" w:lineRule="auto"/>
              <w:jc w:val="center"/>
            </w:pPr>
            <w:r>
              <w:rPr>
                <w:b/>
                <w:sz w:val="18"/>
              </w:rPr>
              <w:t>Indeks (%)</w:t>
            </w:r>
          </w:p>
        </w:tc>
      </w:tr>
      <w:tr w:rsidR="00A863F1">
        <w:tblPrEx>
          <w:tblCellMar>
            <w:top w:w="0" w:type="dxa"/>
            <w:bottom w:w="0" w:type="dxa"/>
          </w:tblCellMar>
        </w:tblPrEx>
        <w:trPr>
          <w:cantSplit/>
          <w:trHeight w:val="560"/>
        </w:trPr>
        <w:tc>
          <w:tcPr>
            <w:tcW w:w="700" w:type="dxa"/>
            <w:tcMar>
              <w:top w:w="0" w:type="dxa"/>
              <w:bottom w:w="0" w:type="dxa"/>
            </w:tcMar>
            <w:vAlign w:val="center"/>
          </w:tcPr>
          <w:p w:rsidR="00A863F1" w:rsidRDefault="00A863F1">
            <w:pPr>
              <w:keepNext/>
              <w:keepLines/>
              <w:spacing w:after="0" w:line="240" w:lineRule="auto"/>
            </w:pPr>
          </w:p>
        </w:tc>
        <w:tc>
          <w:tcPr>
            <w:tcW w:w="3180" w:type="dxa"/>
            <w:tcMar>
              <w:top w:w="0" w:type="dxa"/>
              <w:bottom w:w="0" w:type="dxa"/>
            </w:tcMar>
            <w:vAlign w:val="center"/>
          </w:tcPr>
          <w:p w:rsidR="00A863F1" w:rsidRDefault="00C52735">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rsidR="00A863F1" w:rsidRDefault="00C52735">
            <w:pPr>
              <w:keepNext/>
              <w:keepLines/>
              <w:spacing w:after="0" w:line="240" w:lineRule="auto"/>
            </w:pPr>
            <w:r>
              <w:rPr>
                <w:sz w:val="18"/>
              </w:rPr>
              <w:t>V009</w:t>
            </w:r>
          </w:p>
        </w:tc>
        <w:tc>
          <w:tcPr>
            <w:tcW w:w="1860" w:type="dxa"/>
            <w:tcMar>
              <w:top w:w="0" w:type="dxa"/>
              <w:bottom w:w="0" w:type="dxa"/>
            </w:tcMar>
            <w:vAlign w:val="center"/>
          </w:tcPr>
          <w:p w:rsidR="00A863F1" w:rsidRDefault="00C52735">
            <w:pPr>
              <w:keepNext/>
              <w:keepLines/>
              <w:spacing w:after="0" w:line="240" w:lineRule="auto"/>
              <w:jc w:val="right"/>
            </w:pPr>
            <w:r>
              <w:rPr>
                <w:sz w:val="18"/>
              </w:rPr>
              <w:t>69.653,64</w:t>
            </w:r>
          </w:p>
        </w:tc>
        <w:tc>
          <w:tcPr>
            <w:tcW w:w="700" w:type="dxa"/>
            <w:tcMar>
              <w:top w:w="0" w:type="dxa"/>
              <w:bottom w:w="0" w:type="dxa"/>
            </w:tcMar>
            <w:vAlign w:val="center"/>
          </w:tcPr>
          <w:p w:rsidR="00A863F1" w:rsidRDefault="00C52735">
            <w:pPr>
              <w:keepNext/>
              <w:keepLines/>
              <w:spacing w:after="0" w:line="240" w:lineRule="auto"/>
              <w:jc w:val="right"/>
            </w:pPr>
            <w:r>
              <w:rPr>
                <w:sz w:val="18"/>
              </w:rPr>
              <w:t>-</w:t>
            </w:r>
          </w:p>
        </w:tc>
      </w:tr>
    </w:tbl>
    <w:p w:rsidR="00A863F1" w:rsidRDefault="00A863F1">
      <w:pPr>
        <w:spacing w:after="0"/>
      </w:pPr>
    </w:p>
    <w:p w:rsidR="00A863F1" w:rsidRDefault="00C52735">
      <w:pPr>
        <w:spacing w:line="240" w:lineRule="auto"/>
        <w:jc w:val="both"/>
      </w:pPr>
      <w:r>
        <w:t xml:space="preserve">Stanje nedospjelih obveza na kraju izvještajnog razdoblja iznosi  69.653,64 eura i odnosi se na: - obveze za plaće zaposlenih </w:t>
      </w:r>
      <w:r>
        <w:t>za 6/25 u iznosu od 65.671,07 eura,     - obveze prema dobavljačima 3.982,57 eura  Iskazane obveze planiraju se podmiriti tijekom mjeseca srpnja 2025.g.</w:t>
      </w:r>
    </w:p>
    <w:p w:rsidR="00A863F1" w:rsidRDefault="00A863F1"/>
    <w:sectPr w:rsidR="00A86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F1"/>
    <w:rsid w:val="00A863F1"/>
    <w:rsid w:val="00C527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58225-6939-4031-9FF6-0A783887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52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2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2070</Words>
  <Characters>11801</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Korisnik1</cp:lastModifiedBy>
  <cp:revision>2</cp:revision>
  <cp:lastPrinted>2025-07-09T10:54:00Z</cp:lastPrinted>
  <dcterms:created xsi:type="dcterms:W3CDTF">2025-07-09T10:54:00Z</dcterms:created>
  <dcterms:modified xsi:type="dcterms:W3CDTF">2025-07-09T10:54:00Z</dcterms:modified>
</cp:coreProperties>
</file>