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b99d93cd019e48ea"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34598</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ČEŠKI DJEČJI VRTIĆ FERDE MRAVENCA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553.025,87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565.752,14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512.789,13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568.178,41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2.426,27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736,23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1.650,63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224,2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736,23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1.650,63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224,2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4.076,90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U razdoblju od 1.1.2026. do 30.06. 2026. ostvaren je manjak prihoda poslovanja u iznosu od 2.426,27 eura te manjak prihoda od nefinancijske imovine u iznosu od 1.650,63 eura te ukupno iznosi 4.076,90 eura, a zajedno s prenesenim manjkom iz prethodne godine u iznosu od 64.714,96 eura čini 68.791,86 manjka prihoda raspoloživog u sljedećem razdoblju. </w:t>
      </w:r>
    </w:p>
    <w:p>
      <w:r>
        <w:t xml:space="preserve">Rezultat poslovanja je djelomično metodološki manjak iz razloga što u izvještajnom razdoblju knjižen je rashod plaće za lipanj dok su sredstva za isplatu plaće doznačena u srpnju.</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553.025,87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565.752,14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102,3</w:t>
            </w:r>
          </w:p>
        </w:tc>
      </w:tr>
    </w:tbl>
    <w:p>
      <w:pPr>
        <w:spacing w:before="0" w:after="0"/>
      </w:pPr>
    </w:p>
    <w:p>
      <w:r>
        <w:t xml:space="preserve">Ukupni prihodi poslovanja za razdoblje 1.01.2026. do 30.06. 2026. godine  ostvareni su u iznosu od 565.752 eura, a sastoje se od Pomoći iz inozemstva i od subjekata unutar općeg proračuna, Prihoda od imovine, Prihoda od upravnih i administrativnih pristojbi po posebnim propisima i naknada, Prihoda od donacija, Prihoda iz nadležnog proračuna i ostalih prihoda, a veći su za 12.726,13 € u odnosu na isto razdoblje prethodne godine.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iz inozemstva i od subjekata unutar općeg proračuna (šifre 631+632+633+634+635+636+637+638+639)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14.701,19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12.227,22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83,2</w:t>
            </w:r>
          </w:p>
        </w:tc>
      </w:tr>
    </w:tbl>
    <w:p>
      <w:pPr>
        <w:spacing w:before="0" w:after="0"/>
      </w:pPr>
    </w:p>
    <w:p>
      <w:r>
        <w:t xml:space="preserve">Pomoći iz inozemstva i od subjekata unutar općeg proračuna iznose 12.227,22 eura i manji su za 2.473,97 eura u odnosu na prethodno izvještajno razdoblje, a odnose se tekuće pomoći za sufinanciranje cijene usluga vrtića za djecu drugih općina te prihode iz Ministarstva znanosti i obrazovanja za sufinanciranje programa predškolskog odgoja i obrazovanja djece predškolske dobi pripadnika nacionalnih manjina, prihode za predškolu te prihode za sufinanciranje programa za djecu predškolske dobi s teškoćama u razvoju. Prihodi iz tekućih pomoći za sufinanciranje cijene usluga vrtića za djecu drugih općina su se povećali zbog više broja upisane djece iz drugih općina i povećane ekonomske cijene vrtića, međutim u ovom izvještajnom razdoblju nije uplaćena još ni jedna rata iz Ministarstva obrazovanja, stoga je došlo do navedenog smanjenja prihoda.</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imovine (šifre 641+642+643)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1.440,11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w:t>
            </w:r>
          </w:p>
        </w:tc>
      </w:tr>
    </w:tbl>
    <w:p>
      <w:pPr>
        <w:spacing w:before="0" w:after="0"/>
      </w:pPr>
    </w:p>
    <w:p>
      <w:r>
        <w:t xml:space="preserve">Prihodi od imovine ostvareni su u iznosu od 22,73 eura te su u odnosu na prethodno razdoblje smanjeni. Navedeni iznos odnosi se na posljednju uplatu kamata, s obzirom na to da je vrtić od 1. siječnja 2026. godine uključen u riznicu Grada Daruvara, čime je prestao koristiti vlastiti poslovni račun.</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upravnih i administrativnih pristojbi, pristojbi po posebnim propisima i naknada (šifre 651+652+653+654)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75.304,96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133.177,66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176,9</w:t>
            </w:r>
          </w:p>
        </w:tc>
      </w:tr>
    </w:tbl>
    <w:p>
      <w:pPr>
        <w:spacing w:before="0" w:after="0"/>
      </w:pPr>
    </w:p>
    <w:p>
      <w:r>
        <w:t xml:space="preserve">Prihodi od upravnih i administrativnih pristojbi, pristojbi po posebnim propisima i naknada te od prodaje proizvoda i robe ostvareni su u iznosu od 133.177,66 eura, što je za 57.872,70 eura više u odnosu na isto razdoblje prethodne godine.</w:t>
      </w:r>
    </w:p>
    <w:p>
      <w:r>
        <w:t xml:space="preserve">Povećanje prihoda najvećim se dijelom odnosi na sufinanciranje cijene usluga dječjeg vrtića od strane roditelja. Do rasta prihoda došlo je zbog povećanog broja djece upisane iz drugih općina, za koju roditelji plaćaju punu ekonomsku cijenu boravka u vrtiću.</w:t>
      </w:r>
    </w:p>
    <w:p>
      <w:r>
        <w:t xml:space="preserve">Tijekom razdoblja od lipnja 2024. do listopada 2025. godine provedena je rekonstrukcija i dogradnja vrtića. Završetkom radova povećani su kapaciteti ustanove, što je omogućilo veći broj upisa djece u pedagošku godinu 2025./2026. Dodatno, prihodi su povećani i zbog povećanja redovne cijene vrtića, sukladno odluci Grada Daruvara.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te pruženih usluga, prihodi od donacija te povrati po protestiranim jamstvima (šifre 661+663)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110.400,00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50.858,16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46,1</w:t>
            </w:r>
          </w:p>
        </w:tc>
      </w:tr>
    </w:tbl>
    <w:p>
      <w:pPr>
        <w:spacing w:before="0" w:after="0"/>
      </w:pPr>
    </w:p>
    <w:p>
      <w:r>
        <w:t xml:space="preserve">Na podskupini donacija od pravnih i fizičkih osoba izvan općeg proračuna evidentirani su prihodi u iznosu od 50.858,196 eura. Navedeni prihod odnosi se na donaciju financijskih sredstava Saveza Čeha koje je savezu dodijelio Ured za ljudska prava i prava nacionalnih manjina, namijenjenih institucionalnoj potpori, za uređenje kuhinje te za nabavu zaštitnih maski za radijatore i podrumska vrata. U usporedbi s prethodnim izvještajnim razdobljem evidentirano je smanjenje prihoda jer vrtić uslijed nadogradnje i rekonstrukcije ostvario pozamašnu donaciju financijskih sredstava od Saveza Čeha i Čehoslovačkog zavoda za iseljeništvo za rekonstrukciju dotrajale sjenice u vrtićkom dvorištu te za dogradnju, rekonstrukciju, adaptaciju i opremanje vrtića.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i od HZZO-a na temelju ugovornih obveza (šifre 671+673)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351.138,61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369.210,73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105,1</w:t>
            </w:r>
          </w:p>
        </w:tc>
      </w:tr>
    </w:tbl>
    <w:p>
      <w:pPr>
        <w:spacing w:before="0" w:after="0"/>
      </w:pPr>
    </w:p>
    <w:p>
      <w:r>
        <w:t xml:space="preserve">Od lipnja 2024. godine je trajala rekonstrukcija i dogradnja vrtića koja je završena u listopadu 2025. godine, a povećanjem kapaciteta vrtića došlo je do dodatnog zapošljavanja. Prihodi za financiranje ostalih rashoda za zaposlene također su povećani zbog porasta broja zaposlenih.</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Kazne, upravne mjere i ostali prihodi (šifre 681+683)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255,64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623,5</w:t>
            </w:r>
          </w:p>
        </w:tc>
      </w:tr>
    </w:tbl>
    <w:p>
      <w:pPr>
        <w:spacing w:before="0" w:after="0"/>
      </w:pPr>
    </w:p>
    <w:p>
      <w:r>
        <w:t xml:space="preserve">U odnosu na prethodno razdoblje evidentirano je povećanje ostalih prihoda, a odnosi se na refunadacije prethodnih pregleda medicine rada te uplate zaposlenika za otkup toplog obroka.</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512.789,13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568.178,41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110,8</w:t>
            </w:r>
          </w:p>
        </w:tc>
      </w:tr>
    </w:tbl>
    <w:p>
      <w:pPr>
        <w:spacing w:before="0" w:after="0"/>
      </w:pPr>
    </w:p>
    <w:p>
      <w:r>
        <w:t xml:space="preserve">Ukupni rashodi poslovanja za razdoblje 01.01.2026. – 30.06.2026. godine iznose 568.178,41 eura.  Sastoje se od rashoda za zaposlene, materijalnih rashoda, financijskih rashoda i rashoda za nabavu proizvedene dugotrajne imovine, a povećali su se za 55.389,28 u odnosu na prethodno razdoblje iste godine.  </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zaposlene (šifre 311+312+313)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435.647,27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486.496,52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111,7</w:t>
            </w:r>
          </w:p>
        </w:tc>
      </w:tr>
    </w:tbl>
    <w:p>
      <w:pPr>
        <w:spacing w:before="0" w:after="0"/>
      </w:pPr>
    </w:p>
    <w:p>
      <w:r>
        <w:t xml:space="preserve">Povećanje rashoda za bruto plaće i doprinose izravno je povezano s povećanjem prihoda iz gradskog proračuna. Naime, uslijed povećanja koeficijenata za obračun plaća te povećanja osnovice za obračun plaća, povećani su prihodi namijenjeni financiranju rashoda za zaposlene, što je rezultiralo rastom rashoda za bruto plaće i doprinose.</w:t>
      </w:r>
    </w:p>
    <w:p>
      <w:r>
        <w:t xml:space="preserve">Rekonstrukcija i dogradnja vrtića trajala je od lipnja 2024. do listopada 2025. godine. Završetkom radova povećani su kapaciteti vrtića, što je omogućilo upis većeg broja djece te dovelo do potrebe za dodatnim zapošljavanjem. Slijedom toga povećani su prihodi za financiranje rashoda za zaposlene, kao i sami rashodi za bruto plaće i doprinose.</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12.925,00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16.600,00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128,4</w:t>
            </w:r>
          </w:p>
        </w:tc>
      </w:tr>
    </w:tbl>
    <w:p>
      <w:pPr>
        <w:spacing w:before="0" w:after="0"/>
      </w:pPr>
    </w:p>
    <w:p>
      <w:r>
        <w:t xml:space="preserve">Ostali rashodi za zaposlene veći su u odnosu na isto razdoblje prethodne godine. Navedeni rashodi odnose se na ostvarivanje materijalnih prava radnika. Povećanje ovih rashoda rezultat je isplate naknade za bolovanje dulje od 90 dana te isplate uskrsnice i regresa. Također, povećanje je povezano s većim brojem zaposlenih u odnosu na prethodno izvještajno razdoblje.</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1.357,20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1.438,60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106,0</w:t>
            </w:r>
          </w:p>
        </w:tc>
      </w:tr>
    </w:tbl>
    <w:p>
      <w:pPr>
        <w:spacing w:before="0" w:after="0"/>
      </w:pPr>
    </w:p>
    <w:p>
      <w:r>
        <w:t xml:space="preserve">U odjeljku 3211 je došlo do povećanja rashoda za naknade troškova zaposlenima. Navedeno smanjenje se odnosi na isplatu dnevnica i naknada za prijevoz na službenim putovanjima kojih je bilo više u odnosu na prethodno razdoblje.</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naknade troškova zaposlenima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Ostale naknade troškova zaposlenima se odnose na isplatu naknade za loko vožnju ekonomu, koje se u prethodnom razdoblju nisu isplaćivale.</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materijal i energiju (šifre 3221 do 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50.378,64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55.078,35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109,3</w:t>
            </w:r>
          </w:p>
        </w:tc>
      </w:tr>
    </w:tbl>
    <w:p>
      <w:pPr>
        <w:spacing w:before="0" w:after="0"/>
      </w:pPr>
    </w:p>
    <w:p>
      <w:r>
        <w:t xml:space="preserve">Do povećanja rashoda došlo je zbog potrebe opremanja novih odgojnih skupina i uredskih prostora uredskim i ostalim materijalom nužnim za redovno poslovanje. S obzirom na ukupno povećanje kapaciteta vrtića, povećale su se i potrebe za nabavom materijala za higijenu, opreme i sredstava za čišćenje, materijala za održavanje te ostalog potrošnog materijala.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sirovine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26.605,34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28.314,00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106,4</w:t>
            </w:r>
          </w:p>
        </w:tc>
      </w:tr>
    </w:tbl>
    <w:p>
      <w:pPr>
        <w:spacing w:before="0" w:after="0"/>
      </w:pPr>
    </w:p>
    <w:p>
      <w:r>
        <w:t xml:space="preserve">S obzirom na ukupno povećanje kapaciteta vrtića i većeg broja djece, povećale su se potrebe za nabavom namirnica te medicinskih potrepština.</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901,44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3.563,24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395,3</w:t>
            </w:r>
          </w:p>
        </w:tc>
      </w:tr>
    </w:tbl>
    <w:p>
      <w:pPr>
        <w:spacing w:before="0" w:after="0"/>
      </w:pPr>
    </w:p>
    <w:p>
      <w:r>
        <w:t xml:space="preserve">Ovi rashodi veći su u odnosu na isto razdoblje protekle godine jer je bilo potrebno nabaviti digitalne toplomjere za novootvorene skupine te su se postavljale zaštitne maske za radijatore.</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usluge (šifre 3231 do 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17.542,40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15.965,70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91,0</w:t>
            </w:r>
          </w:p>
        </w:tc>
      </w:tr>
    </w:tbl>
    <w:p>
      <w:pPr>
        <w:spacing w:before="0" w:after="0"/>
      </w:pPr>
    </w:p>
    <w:p>
      <w:r>
        <w:t xml:space="preserve">U podskupini 323 zabilježeno je smanjenje rashoda. Najveće smanjenje odnosi se na odjeljak 3232 – Usluge tekućeg i investicijskog održavanja, budući da su se u prethodnom razdoblju izvodili mnogi radovi povezani sa dogradnjom vrtića, uređenjem dvorišta i okoliša vrtića.</w:t>
      </w:r>
    </w:p>
    <w:p>
      <w:r>
        <w:t xml:space="preserve">Na odjeljcima 3237, 3238 i 3239 došlo je do povećanja rashoda, što se odnosi na plaćanje projektne dokumentacije za izradu nove nadstrešnice. Također, zbog povećanja kapaciteta vrtića i broja zaposlenih, povećani su rashodi za usluge zaštite na radu te ostalih usluge.</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11.605,66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1.438,75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w:t>
            </w:r>
          </w:p>
        </w:tc>
      </w:tr>
    </w:tbl>
    <w:p>
      <w:pPr>
        <w:spacing w:before="0" w:after="0"/>
      </w:pPr>
    </w:p>
    <w:p>
      <w:r>
        <w:t xml:space="preserve">U prethodnom razdoblju su se izvodili mnogi radovi povezani sa dogradnjom vrtića, uređenjem dvorišta i okoliša vrtića, dok u tekućem razdoblju nisu izvođeni radovi u tolikom obujmu.</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Zakupnine i najamnine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1.968,35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Navedeni rashod odnosi se na najam fotokirnog uređaja za potrebe odgojitelja i ostalog osoblja. U prethodnom razdoblju ovaj rashod nije bio evidentiran jer uređaj nije bio u najmu.</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Premije osiguranja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1.187,19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Odnosi se na rashode premija osiguranja zaposlenih koji u prethodnom razdoblju nisu evidentirani.</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Reprezentacija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161,30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ovom razdoblju nisu evidentirani rashodi za reprezentaciju.</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221,24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ovom razdoblju nisu evidentirani ostali nespomenuti rashodi poslovanja, koji su se u prethodnom razdoblju odnosili na produljenje Fina-inih certifikata.</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Financijski rashodi (šifre 341+342+343)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544,89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S obzirom na to da je vrtić od 1. siječnja 2026. godine uključen u riznicu Grada Daruvara, čime je prestao koristiti vlastiti poslovni račun, više ne koristi bankarske usluge.</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736,23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1.650,63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224,2</w:t>
            </w:r>
          </w:p>
        </w:tc>
      </w:tr>
    </w:tbl>
    <w:p>
      <w:pPr>
        <w:spacing w:before="0" w:after="0"/>
      </w:pPr>
    </w:p>
    <w:p>
      <w:r>
        <w:t xml:space="preserve">Rashodi za nabavu proizvedene dugotrajne imovine veći su u odnosu na isto razdoblje prethodne godine, a odnose se na kupnju novog fotokopirnog uređaja, namještaja i pristupne Wifi točke za novoizgrađeni uredski prostor.</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Uređaji, strojevi i oprema za ostale namjene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odnosu na prethodno razdoblje, u ovom izvještajnom razdoblju evidentiran je rashod na odjeljku 4227, koji se odnosi na nabavu aku bušilice i aku škara za potrebe održavanja vrtića, uređenja okoliša te obavljanja ostalih poslova redovitog održavanja. U prethodnom izvještajnom razdoblju rashodi ove vrste nisu bili evidentirani.</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novčanih sredstava na početku izvještajnog razdoblja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256.596,51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Ovo smanjenje proizlazi iz sredstava koje je Savez Čeha u Republici Hrvatskoj osigurao za dogradnju i adaptaciju vrtića koja su prebačena na žiro račun vrtića u 2024. godini. S obzirom da je Grad Daruvar nositelj projekta, osigurana sredstva od Saveza Čeha su bila prebačena na žiro račun Grada Daruvara u 2025. godini.</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13.112,05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dospjelih obveza na kraju izvještajnog razdoblja iznosi 13.112,05 eura. Do dospijeća obveza došlo je zbog jednog računa koji nije pravodobno podmiren uslijed administrativnog propusta.</w:t>
      </w:r>
    </w:p>
    <w:p>
      <w:r>
        <w:t xml:space="preserve">Nakon prelaska na sustav riznice Grada Daruvara, Vrtić ne raspolaže vlastitim poslovnim računom te nema utjecaj na dinamiku izvršenja plaćanja. Plaćanja se izvršavaju putem Grada Daruvara jednom mjesečno, zbog čega je u pojedinim slučajevima došlo do prekoračenja ugovorenog roka dospijeća pojedinih obveza. Dospjele obveze će biti podmirene tijekom mjeseca srpnja.</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 Prekoračenje 61 do 180 dana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D232B</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Greškom nepodmiren račun koji će biti podmiren tijekom srpnja 2026. godine.</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a) Prekoračenje 1 do 60 dana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D24A</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Odnosi se na dva greškom nepodmirena računa koji će biti podmireni tijekom srpnja.</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nedospjelih obveza na kraju izvještajnog razdoblja (šifre V010 + ND23 + ND24 + 'ND dio 25,26' + ND27)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90.389,55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nedospjelih obveza na kraju izvještajnog razdoblja iznosi  90.389,55 eura i odnosi se na obveze za plaće zaposlenih za 6/26, obveze prema dobavljačima te obveze proračunskih korisnika za povrat u proračun (HZZO). Iskazane obveze planiraju se podmiriti tijekom mjeseca srpnja 2026.g., odnosno prema izvršenoj refundaciji.</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f8d93f4fe2eb4535" /></Relationships>
</file>